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CB4A" w14:textId="7D83889D" w:rsidR="00515B28" w:rsidRDefault="00F964AE" w:rsidP="00515B28">
      <w:pPr>
        <w:pStyle w:val="Heading1"/>
      </w:pPr>
      <w:r>
        <w:t>Minutes</w:t>
      </w:r>
    </w:p>
    <w:p w14:paraId="437C78CD" w14:textId="4D3E3608" w:rsidR="00BA7340" w:rsidRDefault="00000000" w:rsidP="00BA7340">
      <w:sdt>
        <w:sdtPr>
          <w:rPr>
            <w:rStyle w:val="Heading2Char"/>
          </w:rPr>
          <w:alias w:val="Name of meeting"/>
          <w:tag w:val="Name of meeting"/>
          <w:id w:val="1108238525"/>
          <w:placeholder>
            <w:docPart w:val="A217E76697F44E42946C31F3CB8DEEBD"/>
          </w:placeholder>
        </w:sdtPr>
        <w:sdtEndPr>
          <w:rPr>
            <w:rStyle w:val="DefaultParagraphFont"/>
            <w:rFonts w:eastAsiaTheme="minorHAnsi" w:cstheme="minorBidi"/>
            <w:b w:val="0"/>
            <w:color w:val="auto"/>
            <w:sz w:val="20"/>
            <w:szCs w:val="22"/>
          </w:rPr>
        </w:sdtEndPr>
        <w:sdtContent>
          <w:r w:rsidR="00A956C6">
            <w:rPr>
              <w:rStyle w:val="Heading2Char"/>
            </w:rPr>
            <w:t>WestConnex M4-M</w:t>
          </w:r>
          <w:r w:rsidR="000D3ACB">
            <w:rPr>
              <w:rStyle w:val="Heading2Char"/>
            </w:rPr>
            <w:t>8</w:t>
          </w:r>
          <w:r w:rsidR="00A956C6">
            <w:rPr>
              <w:rStyle w:val="Heading2Char"/>
            </w:rPr>
            <w:t xml:space="preserve"> Link Tunnels </w:t>
          </w:r>
          <w:r w:rsidR="00223578">
            <w:rPr>
              <w:rStyle w:val="Heading2Char"/>
            </w:rPr>
            <w:t xml:space="preserve">AQCCC </w:t>
          </w:r>
          <w:r w:rsidR="00A956C6">
            <w:rPr>
              <w:rStyle w:val="Heading2Char"/>
            </w:rPr>
            <w:t xml:space="preserve">Meeting </w:t>
          </w:r>
          <w:r w:rsidR="00223578">
            <w:rPr>
              <w:rStyle w:val="Heading2Char"/>
            </w:rPr>
            <w:t>#</w:t>
          </w:r>
          <w:r w:rsidR="00A9376A">
            <w:rPr>
              <w:rStyle w:val="Heading2Char"/>
            </w:rPr>
            <w:t>1</w:t>
          </w:r>
          <w:r w:rsidR="00FD58B2">
            <w:rPr>
              <w:rStyle w:val="Heading2Char"/>
            </w:rPr>
            <w:t>4</w:t>
          </w:r>
        </w:sdtContent>
      </w:sdt>
    </w:p>
    <w:tbl>
      <w:tblPr>
        <w:tblStyle w:val="SMCWCXStyle10"/>
        <w:tblW w:w="4862" w:type="pct"/>
        <w:tblInd w:w="0" w:type="dxa"/>
        <w:tblLook w:val="0680" w:firstRow="0" w:lastRow="0" w:firstColumn="1" w:lastColumn="0" w:noHBand="1" w:noVBand="1"/>
      </w:tblPr>
      <w:tblGrid>
        <w:gridCol w:w="1330"/>
        <w:gridCol w:w="2074"/>
        <w:gridCol w:w="4268"/>
        <w:gridCol w:w="2250"/>
      </w:tblGrid>
      <w:tr w:rsidR="00BA7340" w14:paraId="230674C2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14:paraId="19331CAE" w14:textId="77777777" w:rsidR="00BA7340" w:rsidRDefault="00BA7340" w:rsidP="00E1673E">
            <w:r>
              <w:t>Date</w:t>
            </w:r>
          </w:p>
        </w:tc>
        <w:sdt>
          <w:sdtPr>
            <w:id w:val="2054036004"/>
            <w:placeholder>
              <w:docPart w:val="B046A54951A84DE98118CABA80591DEB"/>
            </w:placeholder>
            <w:date w:fullDate="2024-04-16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330" w:type="pct"/>
                <w:gridSpan w:val="3"/>
              </w:tcPr>
              <w:p w14:paraId="58DFF6A8" w14:textId="794377BE" w:rsidR="00BA7340" w:rsidRDefault="00FD58B2" w:rsidP="00E167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16/04/2024</w:t>
                </w:r>
              </w:p>
            </w:tc>
          </w:sdtContent>
        </w:sdt>
      </w:tr>
      <w:tr w:rsidR="00BA7340" w14:paraId="571AD6F1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14:paraId="49B9F544" w14:textId="77777777" w:rsidR="00BA7340" w:rsidRDefault="00BA7340" w:rsidP="00E1673E">
            <w:r>
              <w:t>Time</w:t>
            </w:r>
          </w:p>
        </w:tc>
        <w:tc>
          <w:tcPr>
            <w:tcW w:w="4330" w:type="pct"/>
            <w:gridSpan w:val="3"/>
          </w:tcPr>
          <w:p w14:paraId="7E0313C8" w14:textId="544217DA" w:rsidR="00BA7340" w:rsidRDefault="00223578" w:rsidP="00E16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061B11">
              <w:t>.</w:t>
            </w:r>
            <w:r w:rsidR="00FD58B2">
              <w:t>0</w:t>
            </w:r>
            <w:r w:rsidR="00061B11">
              <w:t>0pm</w:t>
            </w:r>
            <w:r>
              <w:t xml:space="preserve"> – </w:t>
            </w:r>
            <w:r w:rsidR="00FD58B2">
              <w:t>7</w:t>
            </w:r>
            <w:r w:rsidR="00514DE5">
              <w:t>.</w:t>
            </w:r>
            <w:r w:rsidR="00FD58B2">
              <w:t>30</w:t>
            </w:r>
            <w:r>
              <w:t>pm</w:t>
            </w:r>
          </w:p>
        </w:tc>
      </w:tr>
      <w:tr w:rsidR="00BA7340" w14:paraId="527232C4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14:paraId="3BB4BBFC" w14:textId="77777777" w:rsidR="00BA7340" w:rsidRDefault="00BA7340" w:rsidP="00E1673E">
            <w:r>
              <w:t>Venue</w:t>
            </w:r>
          </w:p>
        </w:tc>
        <w:tc>
          <w:tcPr>
            <w:tcW w:w="4330" w:type="pct"/>
            <w:gridSpan w:val="3"/>
          </w:tcPr>
          <w:p w14:paraId="1F9C839F" w14:textId="55E036AA" w:rsidR="00BA7340" w:rsidRDefault="00223578" w:rsidP="00A4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Videoconference </w:t>
            </w:r>
            <w:r w:rsidR="00FD58B2">
              <w:t>and in-person</w:t>
            </w:r>
          </w:p>
        </w:tc>
      </w:tr>
      <w:tr w:rsidR="000B225C" w14:paraId="34BDED17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14:paraId="0F266512" w14:textId="27B1DB53" w:rsidR="000B225C" w:rsidRDefault="003749C2" w:rsidP="00700620">
            <w:r>
              <w:t xml:space="preserve">Independent </w:t>
            </w:r>
            <w:r w:rsidR="000B225C">
              <w:t>Chair</w:t>
            </w:r>
          </w:p>
        </w:tc>
        <w:tc>
          <w:tcPr>
            <w:tcW w:w="1045" w:type="pct"/>
          </w:tcPr>
          <w:p w14:paraId="373C24C1" w14:textId="01A00A13" w:rsidR="000B225C" w:rsidRDefault="000B225C" w:rsidP="0070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Abigail Goldberg</w:t>
            </w:r>
          </w:p>
        </w:tc>
        <w:tc>
          <w:tcPr>
            <w:tcW w:w="2151" w:type="pct"/>
          </w:tcPr>
          <w:p w14:paraId="574CB829" w14:textId="117EF2F7" w:rsidR="000B225C" w:rsidRDefault="003A225D" w:rsidP="0070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 and Director</w:t>
            </w:r>
          </w:p>
        </w:tc>
        <w:tc>
          <w:tcPr>
            <w:tcW w:w="1134" w:type="pct"/>
          </w:tcPr>
          <w:p w14:paraId="27D5161C" w14:textId="61F0AC2E" w:rsidR="000B225C" w:rsidRDefault="000B225C" w:rsidP="0070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GoldbergBlaise</w:t>
            </w:r>
          </w:p>
        </w:tc>
      </w:tr>
      <w:tr w:rsidR="005E034E" w14:paraId="00EFF858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 w:val="restart"/>
          </w:tcPr>
          <w:p w14:paraId="30D19F06" w14:textId="51A2E4C6" w:rsidR="005E034E" w:rsidRDefault="003749C2" w:rsidP="00EF63C8">
            <w:r>
              <w:t>Participants</w:t>
            </w:r>
          </w:p>
        </w:tc>
        <w:tc>
          <w:tcPr>
            <w:tcW w:w="1045" w:type="pct"/>
          </w:tcPr>
          <w:p w14:paraId="0A419F28" w14:textId="77777777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Smyth King</w:t>
            </w:r>
          </w:p>
          <w:p w14:paraId="12837C21" w14:textId="77777777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Bridge</w:t>
            </w:r>
          </w:p>
          <w:p w14:paraId="74CE7946" w14:textId="6A8FA656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O’Brien</w:t>
            </w:r>
          </w:p>
        </w:tc>
        <w:tc>
          <w:tcPr>
            <w:tcW w:w="2151" w:type="pct"/>
          </w:tcPr>
          <w:p w14:paraId="68AA8F62" w14:textId="77777777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representative</w:t>
            </w:r>
          </w:p>
          <w:p w14:paraId="724B93F7" w14:textId="77777777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representative</w:t>
            </w:r>
          </w:p>
          <w:p w14:paraId="300F794D" w14:textId="23ED1DBE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representative</w:t>
            </w:r>
          </w:p>
        </w:tc>
        <w:tc>
          <w:tcPr>
            <w:tcW w:w="1134" w:type="pct"/>
          </w:tcPr>
          <w:p w14:paraId="4EEE87D1" w14:textId="77777777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Haberfield</w:t>
            </w:r>
          </w:p>
          <w:p w14:paraId="2FDD3651" w14:textId="77777777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Haberfield</w:t>
            </w:r>
          </w:p>
          <w:p w14:paraId="5CAD5703" w14:textId="5A9AB619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Haberfield</w:t>
            </w:r>
          </w:p>
        </w:tc>
      </w:tr>
      <w:tr w:rsidR="00811199" w14:paraId="7F19D248" w14:textId="77777777" w:rsidTr="00896002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/>
          </w:tcPr>
          <w:p w14:paraId="02127867" w14:textId="0E32116C" w:rsidR="00811199" w:rsidRDefault="00811199" w:rsidP="00811199"/>
        </w:tc>
        <w:tc>
          <w:tcPr>
            <w:tcW w:w="1045" w:type="pct"/>
          </w:tcPr>
          <w:p w14:paraId="62C0FF7F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Scott Hodder</w:t>
            </w:r>
          </w:p>
          <w:p w14:paraId="21168F05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Matthew Callander</w:t>
            </w:r>
          </w:p>
          <w:p w14:paraId="79796B29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Verity Turner</w:t>
            </w:r>
          </w:p>
          <w:p w14:paraId="4210F483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Genevieve Neich</w:t>
            </w:r>
          </w:p>
          <w:p w14:paraId="37AB101E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 Hinks</w:t>
            </w:r>
          </w:p>
          <w:p w14:paraId="7BB211C2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Kylie Keogh</w:t>
            </w:r>
          </w:p>
          <w:p w14:paraId="4B4DEA0E" w14:textId="19940BD6" w:rsidR="000D3ACB" w:rsidRDefault="000D3ACB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Ashley Parnell</w:t>
            </w:r>
          </w:p>
        </w:tc>
        <w:tc>
          <w:tcPr>
            <w:tcW w:w="2151" w:type="pct"/>
          </w:tcPr>
          <w:p w14:paraId="5BA796FA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Director Major Projects NSW</w:t>
            </w:r>
          </w:p>
          <w:p w14:paraId="4757E18B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Life Safety and Integration</w:t>
            </w:r>
          </w:p>
          <w:p w14:paraId="11745A7B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 and Planning Director</w:t>
            </w:r>
          </w:p>
          <w:p w14:paraId="37BFD103" w14:textId="77777777" w:rsidR="00811199" w:rsidRDefault="00811199" w:rsidP="008111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287">
              <w:t>Snr Communi</w:t>
            </w:r>
            <w:r>
              <w:t xml:space="preserve">ty </w:t>
            </w:r>
            <w:r w:rsidRPr="00A36287">
              <w:t>Engagement Advisor</w:t>
            </w:r>
          </w:p>
          <w:p w14:paraId="3B1E06A8" w14:textId="77777777" w:rsidR="00811199" w:rsidRDefault="00811199" w:rsidP="008111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Operational Environmental Specialist</w:t>
            </w:r>
          </w:p>
          <w:p w14:paraId="548594FE" w14:textId="77777777" w:rsidR="00811199" w:rsidRDefault="00811199" w:rsidP="008111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Senior Media Manager</w:t>
            </w:r>
          </w:p>
          <w:p w14:paraId="3D098B9F" w14:textId="78B9B5B6" w:rsidR="000D3ACB" w:rsidRPr="00896002" w:rsidRDefault="000D3ACB" w:rsidP="008111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Maintenance Operations Manager</w:t>
            </w:r>
          </w:p>
        </w:tc>
        <w:tc>
          <w:tcPr>
            <w:tcW w:w="1134" w:type="pct"/>
          </w:tcPr>
          <w:p w14:paraId="15D880E5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WestConnex</w:t>
            </w:r>
          </w:p>
          <w:p w14:paraId="2DD589C4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WestConnex</w:t>
            </w:r>
          </w:p>
          <w:p w14:paraId="7412DCFF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WestConnex </w:t>
            </w:r>
          </w:p>
          <w:p w14:paraId="12B516B4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WestConnex</w:t>
            </w:r>
          </w:p>
          <w:p w14:paraId="4834B8CE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WestConnex</w:t>
            </w:r>
          </w:p>
          <w:p w14:paraId="53065EFB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WestConnex</w:t>
            </w:r>
          </w:p>
          <w:p w14:paraId="01784C75" w14:textId="05E9DD22" w:rsidR="000D3ACB" w:rsidRDefault="000D3ACB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WestConnex</w:t>
            </w:r>
          </w:p>
        </w:tc>
      </w:tr>
      <w:tr w:rsidR="005E034E" w14:paraId="4BF0A1EC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/>
          </w:tcPr>
          <w:p w14:paraId="0E595D2A" w14:textId="77777777" w:rsidR="005E034E" w:rsidRDefault="005E034E" w:rsidP="00EF63C8"/>
        </w:tc>
        <w:tc>
          <w:tcPr>
            <w:tcW w:w="1045" w:type="pct"/>
          </w:tcPr>
          <w:p w14:paraId="1557D958" w14:textId="637822E4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Ian Longley</w:t>
            </w:r>
          </w:p>
        </w:tc>
        <w:tc>
          <w:tcPr>
            <w:tcW w:w="2151" w:type="pct"/>
          </w:tcPr>
          <w:p w14:paraId="6639CA93" w14:textId="0E144DCC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Air Quality Specialist</w:t>
            </w:r>
          </w:p>
        </w:tc>
        <w:tc>
          <w:tcPr>
            <w:tcW w:w="1134" w:type="pct"/>
          </w:tcPr>
          <w:p w14:paraId="521D5FCA" w14:textId="5303ED26" w:rsidR="005E034E" w:rsidRDefault="005E034E" w:rsidP="00E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NIWA NZ</w:t>
            </w:r>
          </w:p>
        </w:tc>
      </w:tr>
      <w:tr w:rsidR="00811199" w14:paraId="0C0F9488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/>
          </w:tcPr>
          <w:p w14:paraId="2174BF83" w14:textId="77777777" w:rsidR="00811199" w:rsidRDefault="00811199" w:rsidP="00811199"/>
        </w:tc>
        <w:tc>
          <w:tcPr>
            <w:tcW w:w="1045" w:type="pct"/>
          </w:tcPr>
          <w:p w14:paraId="17C3D721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Susannah Moberly</w:t>
            </w:r>
          </w:p>
          <w:p w14:paraId="4F20C7BB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3D391" w14:textId="379B3A5C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 Hodgkiss</w:t>
            </w:r>
          </w:p>
        </w:tc>
        <w:tc>
          <w:tcPr>
            <w:tcW w:w="2151" w:type="pct"/>
          </w:tcPr>
          <w:p w14:paraId="6E2D5997" w14:textId="77777777" w:rsidR="00811199" w:rsidRPr="00A34E8C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8C">
              <w:t>Director Precinct Delivery Inner West, Eastern Sydney Project Office</w:t>
            </w:r>
          </w:p>
          <w:p w14:paraId="3D3831E3" w14:textId="5CD2EBA4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8C">
              <w:t xml:space="preserve">Director, Environment and Sustainability, Eastern </w:t>
            </w:r>
            <w:proofErr w:type="gramStart"/>
            <w:r w:rsidRPr="00A34E8C">
              <w:t>Harbour</w:t>
            </w:r>
            <w:proofErr w:type="gramEnd"/>
            <w:r w:rsidRPr="00A34E8C">
              <w:t xml:space="preserve"> and Central River</w:t>
            </w:r>
          </w:p>
        </w:tc>
        <w:tc>
          <w:tcPr>
            <w:tcW w:w="1134" w:type="pct"/>
          </w:tcPr>
          <w:p w14:paraId="771652D9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 for NSW</w:t>
            </w:r>
          </w:p>
          <w:p w14:paraId="2E7535B6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EA93F" w14:textId="619A49BA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 for NSW</w:t>
            </w:r>
          </w:p>
        </w:tc>
      </w:tr>
      <w:tr w:rsidR="00811199" w14:paraId="2628430E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/>
          </w:tcPr>
          <w:p w14:paraId="0A9F7D19" w14:textId="77777777" w:rsidR="00811199" w:rsidRDefault="00811199" w:rsidP="00811199"/>
        </w:tc>
        <w:tc>
          <w:tcPr>
            <w:tcW w:w="1045" w:type="pct"/>
          </w:tcPr>
          <w:p w14:paraId="238ED7BD" w14:textId="09888470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Kendall Banfield</w:t>
            </w:r>
          </w:p>
        </w:tc>
        <w:tc>
          <w:tcPr>
            <w:tcW w:w="2151" w:type="pct"/>
          </w:tcPr>
          <w:p w14:paraId="39F73538" w14:textId="04114E3B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Strategic Transport Planner</w:t>
            </w:r>
          </w:p>
        </w:tc>
        <w:tc>
          <w:tcPr>
            <w:tcW w:w="1134" w:type="pct"/>
          </w:tcPr>
          <w:p w14:paraId="5BC16ABA" w14:textId="231825D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Inner West Council</w:t>
            </w:r>
          </w:p>
        </w:tc>
      </w:tr>
      <w:tr w:rsidR="00811199" w14:paraId="56CDACAE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/>
          </w:tcPr>
          <w:p w14:paraId="6792BC40" w14:textId="77777777" w:rsidR="00811199" w:rsidRDefault="00811199" w:rsidP="00811199"/>
        </w:tc>
        <w:tc>
          <w:tcPr>
            <w:tcW w:w="1045" w:type="pct"/>
          </w:tcPr>
          <w:p w14:paraId="4DD1500B" w14:textId="3A557439" w:rsidR="00811199" w:rsidRDefault="003749C2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Purdy</w:t>
            </w:r>
          </w:p>
          <w:p w14:paraId="034CC33D" w14:textId="71F88A5D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Aleksandra Young</w:t>
            </w:r>
          </w:p>
        </w:tc>
        <w:tc>
          <w:tcPr>
            <w:tcW w:w="2151" w:type="pct"/>
          </w:tcPr>
          <w:p w14:paraId="60C447F4" w14:textId="7B587B35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0C0">
              <w:t>Operations Officer</w:t>
            </w:r>
          </w:p>
          <w:p w14:paraId="32EAA26C" w14:textId="65093BD9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Head, Regulatory Operations Metropolitan</w:t>
            </w:r>
          </w:p>
        </w:tc>
        <w:tc>
          <w:tcPr>
            <w:tcW w:w="1134" w:type="pct"/>
          </w:tcPr>
          <w:p w14:paraId="61B18227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EPA</w:t>
            </w:r>
          </w:p>
          <w:p w14:paraId="6E65E9F7" w14:textId="71DB003C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EPA</w:t>
            </w:r>
          </w:p>
        </w:tc>
      </w:tr>
      <w:tr w:rsidR="00811199" w14:paraId="397BD150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vMerge/>
          </w:tcPr>
          <w:p w14:paraId="49709623" w14:textId="77777777" w:rsidR="00811199" w:rsidRDefault="00811199" w:rsidP="00811199"/>
        </w:tc>
        <w:tc>
          <w:tcPr>
            <w:tcW w:w="1045" w:type="pct"/>
          </w:tcPr>
          <w:p w14:paraId="06E5B268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 Sherry</w:t>
            </w:r>
          </w:p>
          <w:p w14:paraId="34F9FECC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Minchin</w:t>
            </w:r>
          </w:p>
          <w:p w14:paraId="7F3C986C" w14:textId="75B0A8BB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 Reed</w:t>
            </w:r>
          </w:p>
        </w:tc>
        <w:tc>
          <w:tcPr>
            <w:tcW w:w="2151" w:type="pct"/>
          </w:tcPr>
          <w:p w14:paraId="3868CB31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Leader Compliance</w:t>
            </w:r>
          </w:p>
          <w:p w14:paraId="2747E447" w14:textId="77777777" w:rsidR="00811199" w:rsidRPr="00F3735D" w:rsidRDefault="00811199" w:rsidP="0081119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3735D">
              <w:rPr>
                <w:color w:val="000000"/>
              </w:rPr>
              <w:t>Senior Compliance Officer</w:t>
            </w:r>
          </w:p>
          <w:p w14:paraId="52B07406" w14:textId="0C0D4A98" w:rsidR="00811199" w:rsidRPr="00D810C0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Leader Infrastructure Management</w:t>
            </w:r>
          </w:p>
        </w:tc>
        <w:tc>
          <w:tcPr>
            <w:tcW w:w="1134" w:type="pct"/>
          </w:tcPr>
          <w:p w14:paraId="35915D59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DPHI</w:t>
            </w:r>
          </w:p>
          <w:p w14:paraId="24B6F0C8" w14:textId="77777777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DPHI</w:t>
            </w:r>
          </w:p>
          <w:p w14:paraId="565FEFB5" w14:textId="193FED25" w:rsidR="00811199" w:rsidRDefault="00811199" w:rsidP="0081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DPHI</w:t>
            </w:r>
          </w:p>
        </w:tc>
      </w:tr>
      <w:tr w:rsidR="00684451" w14:paraId="20908D39" w14:textId="77777777" w:rsidTr="0037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14:paraId="22CAEDBC" w14:textId="1D131742" w:rsidR="00684451" w:rsidRDefault="00684451" w:rsidP="00684451">
            <w:r>
              <w:t>Apologies</w:t>
            </w:r>
          </w:p>
        </w:tc>
        <w:tc>
          <w:tcPr>
            <w:tcW w:w="1045" w:type="pct"/>
          </w:tcPr>
          <w:p w14:paraId="3C15722C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Karyn Hemming</w:t>
            </w:r>
          </w:p>
          <w:p w14:paraId="7CB29704" w14:textId="77777777" w:rsidR="00684451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Alistair Wardrope</w:t>
            </w:r>
          </w:p>
          <w:p w14:paraId="334A3F6B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Manod</w:t>
            </w:r>
            <w:proofErr w:type="spellEnd"/>
            <w:r>
              <w:t xml:space="preserve"> </w:t>
            </w:r>
            <w:proofErr w:type="spellStart"/>
            <w:r>
              <w:t>Wickramasinghe</w:t>
            </w:r>
            <w:proofErr w:type="spellEnd"/>
          </w:p>
          <w:p w14:paraId="5E0F128C" w14:textId="2417D539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Guan</w:t>
            </w:r>
          </w:p>
        </w:tc>
        <w:tc>
          <w:tcPr>
            <w:tcW w:w="2151" w:type="pct"/>
          </w:tcPr>
          <w:p w14:paraId="6E73E088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representative</w:t>
            </w:r>
          </w:p>
          <w:p w14:paraId="058EC51C" w14:textId="77777777" w:rsidR="00684451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representative</w:t>
            </w:r>
          </w:p>
          <w:p w14:paraId="490015E8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Traffic and Transport Planning Manager</w:t>
            </w:r>
          </w:p>
          <w:p w14:paraId="3090A4C5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47691E" w14:textId="1F3E3554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Graduate Strategic Transport Planner</w:t>
            </w:r>
          </w:p>
        </w:tc>
        <w:tc>
          <w:tcPr>
            <w:tcW w:w="1134" w:type="pct"/>
          </w:tcPr>
          <w:p w14:paraId="71D51E6E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Peters</w:t>
            </w:r>
          </w:p>
          <w:p w14:paraId="0F1D46BF" w14:textId="77777777" w:rsidR="00684451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Peters</w:t>
            </w:r>
          </w:p>
          <w:p w14:paraId="6B29D9EE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Inner West Council</w:t>
            </w:r>
          </w:p>
          <w:p w14:paraId="060F7EB2" w14:textId="77777777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9858B9" w14:textId="380DD775" w:rsidR="003749C2" w:rsidRDefault="003749C2" w:rsidP="0037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Inner West Council</w:t>
            </w:r>
          </w:p>
        </w:tc>
      </w:tr>
    </w:tbl>
    <w:p w14:paraId="40D492D8" w14:textId="77777777" w:rsidR="00BA7340" w:rsidRDefault="00BA7340" w:rsidP="00BA7340"/>
    <w:tbl>
      <w:tblPr>
        <w:tblStyle w:val="SMCWCXStyle10"/>
        <w:tblW w:w="5000" w:type="pct"/>
        <w:tblInd w:w="0" w:type="dxa"/>
        <w:tblLook w:val="04A0" w:firstRow="1" w:lastRow="0" w:firstColumn="1" w:lastColumn="0" w:noHBand="0" w:noVBand="1"/>
      </w:tblPr>
      <w:tblGrid>
        <w:gridCol w:w="572"/>
        <w:gridCol w:w="7226"/>
        <w:gridCol w:w="2406"/>
      </w:tblGrid>
      <w:tr w:rsidR="00BA7340" w14:paraId="3F302443" w14:textId="77777777" w:rsidTr="003A3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1" w:type="pct"/>
            <w:gridSpan w:val="2"/>
          </w:tcPr>
          <w:p w14:paraId="3612436F" w14:textId="77777777" w:rsidR="00BA7340" w:rsidRDefault="00BA7340" w:rsidP="00E1673E">
            <w:r>
              <w:t>Agenda Items</w:t>
            </w:r>
          </w:p>
        </w:tc>
        <w:tc>
          <w:tcPr>
            <w:tcW w:w="1179" w:type="pct"/>
          </w:tcPr>
          <w:p w14:paraId="75B1C06E" w14:textId="41D56A3E" w:rsidR="00BA7340" w:rsidRDefault="00684451" w:rsidP="00E16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BA7340" w:rsidRPr="00BB4FF9" w14:paraId="63619713" w14:textId="77777777" w:rsidTr="003A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14:paraId="34EBF230" w14:textId="77777777" w:rsidR="00BA7340" w:rsidRPr="00BB4FF9" w:rsidRDefault="00BA7340" w:rsidP="00E1673E">
            <w:r w:rsidRPr="00BB4FF9">
              <w:t>1</w:t>
            </w:r>
            <w:r w:rsidR="00E10688" w:rsidRPr="00BB4FF9">
              <w:t>.0</w:t>
            </w:r>
          </w:p>
        </w:tc>
        <w:tc>
          <w:tcPr>
            <w:tcW w:w="3540" w:type="pct"/>
          </w:tcPr>
          <w:p w14:paraId="64AC2297" w14:textId="02787BBC" w:rsidR="00BB4FF9" w:rsidRPr="006367EC" w:rsidRDefault="00E563FC" w:rsidP="00E83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67EC">
              <w:rPr>
                <w:b/>
                <w:bCs/>
              </w:rPr>
              <w:t>Welcome</w:t>
            </w:r>
            <w:r w:rsidR="00684451" w:rsidRPr="006367EC">
              <w:rPr>
                <w:b/>
                <w:bCs/>
              </w:rPr>
              <w:t xml:space="preserve"> and</w:t>
            </w:r>
            <w:r w:rsidR="00622B20" w:rsidRPr="006367EC">
              <w:rPr>
                <w:b/>
                <w:bCs/>
              </w:rPr>
              <w:t xml:space="preserve"> </w:t>
            </w:r>
            <w:r w:rsidRPr="006367EC">
              <w:rPr>
                <w:b/>
                <w:bCs/>
              </w:rPr>
              <w:t>a</w:t>
            </w:r>
            <w:r w:rsidR="00EF63C8" w:rsidRPr="006367EC">
              <w:rPr>
                <w:b/>
                <w:bCs/>
              </w:rPr>
              <w:t>ctions from previous meeting</w:t>
            </w:r>
          </w:p>
          <w:p w14:paraId="3AB7F630" w14:textId="1D36C66A" w:rsidR="00684451" w:rsidRDefault="00684451" w:rsidP="00684451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0D140A">
              <w:rPr>
                <w:rFonts w:eastAsia="Arial" w:cs="Arial"/>
              </w:rPr>
              <w:t>The Chair welcomed participants</w:t>
            </w:r>
            <w:r>
              <w:rPr>
                <w:rFonts w:eastAsia="Arial" w:cs="Arial"/>
              </w:rPr>
              <w:t xml:space="preserve"> and put forward an</w:t>
            </w:r>
            <w:r w:rsidR="003A360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Acknowledgement of Country. A</w:t>
            </w:r>
            <w:r w:rsidRPr="000D140A">
              <w:rPr>
                <w:rFonts w:eastAsia="Arial" w:cs="Arial"/>
              </w:rPr>
              <w:t>pologies</w:t>
            </w:r>
            <w:r>
              <w:rPr>
                <w:rFonts w:eastAsia="Arial" w:cs="Arial"/>
              </w:rPr>
              <w:t xml:space="preserve"> were noted</w:t>
            </w:r>
            <w:r w:rsidRPr="000D140A">
              <w:rPr>
                <w:rFonts w:eastAsia="Arial" w:cs="Arial"/>
              </w:rPr>
              <w:t xml:space="preserve">. </w:t>
            </w:r>
          </w:p>
          <w:p w14:paraId="3E6C6887" w14:textId="712F6CB9" w:rsidR="00684451" w:rsidRDefault="00684451" w:rsidP="00684451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As no comments had been received on the Minutes or actions from meeting </w:t>
            </w:r>
            <w:r w:rsidR="003749C2">
              <w:rPr>
                <w:rFonts w:eastAsia="Arial" w:cs="Arial"/>
              </w:rPr>
              <w:t>#</w:t>
            </w:r>
            <w:r>
              <w:rPr>
                <w:rFonts w:eastAsia="Arial" w:cs="Arial"/>
              </w:rPr>
              <w:t>1</w:t>
            </w:r>
            <w:r w:rsidR="00AB02A0">
              <w:rPr>
                <w:rFonts w:eastAsia="Arial" w:cs="Arial"/>
              </w:rPr>
              <w:t>3</w:t>
            </w:r>
            <w:r>
              <w:rPr>
                <w:rFonts w:eastAsia="Arial" w:cs="Arial"/>
              </w:rPr>
              <w:t>, these were confirmed.</w:t>
            </w:r>
          </w:p>
          <w:p w14:paraId="5FF2DBC2" w14:textId="414F11CE" w:rsidR="00684451" w:rsidRPr="00DC1088" w:rsidRDefault="00A31ADC" w:rsidP="00684451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Declarations</w:t>
            </w:r>
            <w:r w:rsidR="00684451" w:rsidRPr="00DC1088">
              <w:rPr>
                <w:rFonts w:eastAsia="Arial" w:cs="Arial"/>
                <w:b/>
                <w:bCs/>
              </w:rPr>
              <w:t xml:space="preserve"> of interest</w:t>
            </w:r>
          </w:p>
          <w:p w14:paraId="66BDF446" w14:textId="436AEB85" w:rsidR="00684451" w:rsidRPr="003749C2" w:rsidRDefault="00684451" w:rsidP="003749C2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No </w:t>
            </w:r>
            <w:r w:rsidR="00A31ADC">
              <w:rPr>
                <w:rFonts w:eastAsia="Arial" w:cs="Arial"/>
              </w:rPr>
              <w:t>declarations</w:t>
            </w:r>
            <w:r>
              <w:rPr>
                <w:rFonts w:eastAsia="Arial" w:cs="Arial"/>
              </w:rPr>
              <w:t xml:space="preserve"> of interest were advised.</w:t>
            </w:r>
          </w:p>
        </w:tc>
        <w:tc>
          <w:tcPr>
            <w:tcW w:w="1179" w:type="pct"/>
          </w:tcPr>
          <w:p w14:paraId="205120BC" w14:textId="3359A7B6" w:rsidR="00BB4FF9" w:rsidRPr="00BB4FF9" w:rsidRDefault="00BB4FF9" w:rsidP="00E1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287" w:rsidRPr="00BB4FF9" w14:paraId="357C6E98" w14:textId="77777777" w:rsidTr="00A44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14:paraId="16E3672C" w14:textId="2E2B137E" w:rsidR="00A36287" w:rsidRPr="00BB4FF9" w:rsidRDefault="00A36287" w:rsidP="004B2D8A">
            <w:r>
              <w:lastRenderedPageBreak/>
              <w:t>2</w:t>
            </w:r>
            <w:r w:rsidRPr="00BB4FF9">
              <w:t>.0</w:t>
            </w:r>
          </w:p>
        </w:tc>
        <w:tc>
          <w:tcPr>
            <w:tcW w:w="3540" w:type="pct"/>
          </w:tcPr>
          <w:p w14:paraId="440153A9" w14:textId="7E8E5345" w:rsidR="003A360A" w:rsidRDefault="003A360A" w:rsidP="003A36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Community update on air quality matters</w:t>
            </w:r>
          </w:p>
          <w:p w14:paraId="1C292FDC" w14:textId="77CBA6B8" w:rsidR="00AB02A0" w:rsidRDefault="003A360A" w:rsidP="003A360A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No community matters were raised.</w:t>
            </w:r>
          </w:p>
          <w:p w14:paraId="5B0673B8" w14:textId="72CAB27A" w:rsidR="00AB02A0" w:rsidRPr="00AB02A0" w:rsidRDefault="00AB02A0" w:rsidP="003A360A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AB02A0">
              <w:rPr>
                <w:rFonts w:eastAsia="Arial" w:cs="Arial"/>
                <w:b/>
                <w:bCs/>
              </w:rPr>
              <w:t>AQCCC Annual Report</w:t>
            </w:r>
          </w:p>
          <w:p w14:paraId="43B56421" w14:textId="19E7E5DA" w:rsidR="00AB02A0" w:rsidRPr="00A36287" w:rsidRDefault="004F3C78" w:rsidP="001A0204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204">
              <w:rPr>
                <w:rFonts w:eastAsia="Arial" w:cs="Arial"/>
              </w:rPr>
              <w:t xml:space="preserve">The Chair </w:t>
            </w:r>
            <w:r w:rsidR="001A0204" w:rsidRPr="001A0204">
              <w:rPr>
                <w:rFonts w:eastAsia="Arial" w:cs="Arial"/>
              </w:rPr>
              <w:t>confirmed</w:t>
            </w:r>
            <w:r w:rsidRPr="001A0204">
              <w:rPr>
                <w:rFonts w:eastAsia="Arial" w:cs="Arial"/>
              </w:rPr>
              <w:t xml:space="preserve"> that </w:t>
            </w:r>
            <w:r w:rsidR="003749C2" w:rsidRPr="001A0204">
              <w:rPr>
                <w:rFonts w:eastAsia="Arial" w:cs="Arial"/>
              </w:rPr>
              <w:t>s</w:t>
            </w:r>
            <w:r w:rsidRPr="001A0204">
              <w:rPr>
                <w:rFonts w:eastAsia="Arial" w:cs="Arial"/>
              </w:rPr>
              <w:t>he</w:t>
            </w:r>
            <w:r w:rsidR="003749C2" w:rsidRPr="001A0204">
              <w:rPr>
                <w:rFonts w:eastAsia="Arial" w:cs="Arial"/>
              </w:rPr>
              <w:t xml:space="preserve"> </w:t>
            </w:r>
            <w:r w:rsidR="001A0204" w:rsidRPr="001A0204">
              <w:rPr>
                <w:rFonts w:eastAsia="Arial" w:cs="Arial"/>
              </w:rPr>
              <w:t xml:space="preserve">had </w:t>
            </w:r>
            <w:r w:rsidR="003749C2" w:rsidRPr="001A0204">
              <w:rPr>
                <w:rFonts w:eastAsia="Arial" w:cs="Arial"/>
              </w:rPr>
              <w:t>submitted the</w:t>
            </w:r>
            <w:r w:rsidRPr="001A0204">
              <w:rPr>
                <w:rFonts w:eastAsia="Arial" w:cs="Arial"/>
              </w:rPr>
              <w:t xml:space="preserve"> </w:t>
            </w:r>
            <w:r w:rsidR="003749C2" w:rsidRPr="001A0204">
              <w:rPr>
                <w:rFonts w:eastAsia="Arial" w:cs="Arial"/>
              </w:rPr>
              <w:t xml:space="preserve">AQCCC </w:t>
            </w:r>
            <w:r w:rsidRPr="001A0204">
              <w:rPr>
                <w:rFonts w:eastAsia="Arial" w:cs="Arial"/>
              </w:rPr>
              <w:t>Annual Report to DPHI towards the end of 2023</w:t>
            </w:r>
            <w:r w:rsidR="003749C2" w:rsidRPr="001A0204">
              <w:rPr>
                <w:rFonts w:eastAsia="Arial" w:cs="Arial"/>
              </w:rPr>
              <w:t xml:space="preserve"> as required</w:t>
            </w:r>
            <w:r w:rsidRPr="001A0204">
              <w:rPr>
                <w:rFonts w:eastAsia="Arial" w:cs="Arial"/>
              </w:rPr>
              <w:t>, with a copy provided for the information of AQCCC members on 26 February 2024. The Chair noted that the report is a useful aide memoire a</w:t>
            </w:r>
            <w:r w:rsidR="003749C2" w:rsidRPr="001A0204">
              <w:rPr>
                <w:rFonts w:eastAsia="Arial" w:cs="Arial"/>
              </w:rPr>
              <w:t>n</w:t>
            </w:r>
            <w:r w:rsidRPr="001A0204">
              <w:rPr>
                <w:rFonts w:eastAsia="Arial" w:cs="Arial"/>
              </w:rPr>
              <w:t>d synthesis of everything undertaken and achieved by the committee over the year.</w:t>
            </w:r>
          </w:p>
        </w:tc>
        <w:tc>
          <w:tcPr>
            <w:tcW w:w="1179" w:type="pct"/>
          </w:tcPr>
          <w:p w14:paraId="1559EA41" w14:textId="351D6971" w:rsidR="00A36287" w:rsidRPr="00BB4FF9" w:rsidRDefault="00A36287" w:rsidP="004B2D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2A0" w:rsidRPr="00BB4FF9" w14:paraId="0DBE12BA" w14:textId="77777777" w:rsidTr="003A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14:paraId="0FE411A9" w14:textId="44FCF42C" w:rsidR="00AB02A0" w:rsidRDefault="00AB02A0" w:rsidP="00E1673E">
            <w:r>
              <w:t xml:space="preserve">3.0 </w:t>
            </w:r>
          </w:p>
        </w:tc>
        <w:tc>
          <w:tcPr>
            <w:tcW w:w="3540" w:type="pct"/>
          </w:tcPr>
          <w:p w14:paraId="20ADB284" w14:textId="77777777" w:rsidR="00AB02A0" w:rsidRDefault="00AB02A0" w:rsidP="0072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Overview of AQCCC Terms of Reference </w:t>
            </w:r>
          </w:p>
          <w:p w14:paraId="7F2CAE22" w14:textId="5BA2A73E" w:rsidR="00AB02A0" w:rsidRDefault="00A47FB6" w:rsidP="00A47FB6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Verity Turner presented a table outlining the Terms of Reference for the AQCCC and detailing areas in which compliance has already been achieved and areas where compliance is ongoing.</w:t>
            </w:r>
          </w:p>
          <w:p w14:paraId="6052285B" w14:textId="4A92CB5A" w:rsidR="00A47FB6" w:rsidRDefault="00A47FB6" w:rsidP="00A47FB6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brief, the AQCCC</w:t>
            </w:r>
            <w:r w:rsidR="001A0204">
              <w:t xml:space="preserve"> is</w:t>
            </w:r>
            <w:r>
              <w:t>:</w:t>
            </w:r>
          </w:p>
          <w:p w14:paraId="5DE12FF9" w14:textId="538FB579" w:rsidR="00A47FB6" w:rsidRDefault="001A0204" w:rsidP="00A47FB6">
            <w:pPr>
              <w:pStyle w:val="ListParagraph"/>
              <w:numPr>
                <w:ilvl w:val="0"/>
                <w:numId w:val="26"/>
              </w:num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A47FB6">
              <w:t xml:space="preserve">equired to meet four times </w:t>
            </w:r>
            <w:r w:rsidR="007E02F8">
              <w:t>a</w:t>
            </w:r>
            <w:r w:rsidR="00A47FB6">
              <w:t xml:space="preserve"> year</w:t>
            </w:r>
          </w:p>
          <w:p w14:paraId="306E781C" w14:textId="24C64CA9" w:rsidR="00A47FB6" w:rsidRPr="004F3C78" w:rsidRDefault="001A0204" w:rsidP="00A47FB6">
            <w:pPr>
              <w:pStyle w:val="ListParagraph"/>
              <w:numPr>
                <w:ilvl w:val="0"/>
                <w:numId w:val="26"/>
              </w:num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A47FB6">
              <w:t>xpected to continue to review and provide advice</w:t>
            </w:r>
            <w:r w:rsidR="004F3C78">
              <w:t xml:space="preserve"> on </w:t>
            </w:r>
            <w:r w:rsidR="004F3C78" w:rsidRPr="004F3C78">
              <w:rPr>
                <w:lang w:val="en-US"/>
              </w:rPr>
              <w:t>operation environmental management plans and other operation stage documents, compliance tracking reporting, audit reports, or complaints as they relate to air quality</w:t>
            </w:r>
          </w:p>
          <w:p w14:paraId="2ECCEF01" w14:textId="586124E4" w:rsidR="004F3C78" w:rsidRDefault="001A0204" w:rsidP="00A47FB6">
            <w:pPr>
              <w:pStyle w:val="ListParagraph"/>
              <w:numPr>
                <w:ilvl w:val="0"/>
                <w:numId w:val="26"/>
              </w:num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F3C78">
              <w:t xml:space="preserve">o </w:t>
            </w:r>
            <w:r w:rsidR="004F3C78" w:rsidRPr="004F3C78">
              <w:t>continue to provide advice on air quality issues at the AQCCC meetings and between meetings through the AQCCC Chair</w:t>
            </w:r>
            <w:r w:rsidR="007E02F8">
              <w:t>.</w:t>
            </w:r>
          </w:p>
          <w:p w14:paraId="7C09A0BA" w14:textId="54BB33DB" w:rsidR="004F3C78" w:rsidRPr="004F3C78" w:rsidRDefault="007E02F8" w:rsidP="004F3C78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AQCCC is required to function for </w:t>
            </w:r>
            <w:r w:rsidR="004F3C78" w:rsidRPr="004F3C78">
              <w:t xml:space="preserve">two years </w:t>
            </w:r>
            <w:r>
              <w:t xml:space="preserve">following commencement </w:t>
            </w:r>
            <w:r w:rsidR="004F3C78" w:rsidRPr="004F3C78">
              <w:t>of operation</w:t>
            </w:r>
            <w:r>
              <w:t>s. As such the role of the committee will be reviewed</w:t>
            </w:r>
            <w:r w:rsidR="004F3C78" w:rsidRPr="004F3C78">
              <w:t xml:space="preserve"> in early 2025</w:t>
            </w:r>
            <w:r>
              <w:t xml:space="preserve"> by</w:t>
            </w:r>
            <w:r w:rsidR="004F3C78" w:rsidRPr="004F3C78">
              <w:t xml:space="preserve"> WestConnex Transurban in consultation with the Chair</w:t>
            </w:r>
            <w:r w:rsidR="004F3C78">
              <w:t>.</w:t>
            </w:r>
          </w:p>
          <w:p w14:paraId="3B8629C1" w14:textId="017E612B" w:rsidR="00AB02A0" w:rsidRDefault="00AB02A0" w:rsidP="0072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79" w:type="pct"/>
          </w:tcPr>
          <w:p w14:paraId="24FCB525" w14:textId="77777777" w:rsidR="00AB02A0" w:rsidRPr="00BB4FF9" w:rsidRDefault="00AB02A0" w:rsidP="00E1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FF9" w:rsidRPr="00BB4FF9" w14:paraId="1F0FC287" w14:textId="77777777" w:rsidTr="00193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14:paraId="0919ECE9" w14:textId="1943330E" w:rsidR="00BB4FF9" w:rsidRPr="00BB4FF9" w:rsidRDefault="00A31ADC" w:rsidP="00E1673E">
            <w:r>
              <w:t>4</w:t>
            </w:r>
            <w:r w:rsidR="00BB4FF9" w:rsidRPr="00BB4FF9">
              <w:t>.0</w:t>
            </w:r>
          </w:p>
        </w:tc>
        <w:tc>
          <w:tcPr>
            <w:tcW w:w="3540" w:type="pct"/>
          </w:tcPr>
          <w:p w14:paraId="4F65D95E" w14:textId="77777777" w:rsidR="00726F29" w:rsidRDefault="00726F29" w:rsidP="00726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Updates from the project team</w:t>
            </w:r>
          </w:p>
          <w:p w14:paraId="1150BF39" w14:textId="77777777" w:rsidR="00726F29" w:rsidRPr="00241A2A" w:rsidRDefault="00726F29" w:rsidP="00726F29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u w:val="single"/>
              </w:rPr>
            </w:pPr>
            <w:r w:rsidRPr="00241A2A">
              <w:rPr>
                <w:rFonts w:eastAsia="Arial" w:cs="Arial"/>
                <w:u w:val="single"/>
              </w:rPr>
              <w:t>Overview of air quality complaints since last meeting</w:t>
            </w:r>
          </w:p>
          <w:p w14:paraId="15903D26" w14:textId="21D123FC" w:rsidR="001F1DA1" w:rsidRPr="001F1DA1" w:rsidRDefault="00726F29" w:rsidP="001F1DA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241A2A">
              <w:rPr>
                <w:rFonts w:eastAsia="Arial" w:cs="Arial"/>
              </w:rPr>
              <w:t xml:space="preserve">No </w:t>
            </w:r>
            <w:r>
              <w:rPr>
                <w:rFonts w:eastAsia="Arial" w:cs="Arial"/>
              </w:rPr>
              <w:t xml:space="preserve">air quality </w:t>
            </w:r>
            <w:r w:rsidRPr="00241A2A">
              <w:rPr>
                <w:rFonts w:eastAsia="Arial" w:cs="Arial"/>
              </w:rPr>
              <w:t xml:space="preserve">complaints were </w:t>
            </w:r>
            <w:r>
              <w:rPr>
                <w:rFonts w:eastAsia="Arial" w:cs="Arial"/>
              </w:rPr>
              <w:t>received</w:t>
            </w:r>
            <w:r w:rsidRPr="00241A2A">
              <w:rPr>
                <w:rFonts w:eastAsia="Arial" w:cs="Arial"/>
              </w:rPr>
              <w:t xml:space="preserve"> since the last meeting</w:t>
            </w:r>
            <w:r>
              <w:rPr>
                <w:rFonts w:eastAsia="Arial" w:cs="Arial"/>
              </w:rPr>
              <w:t>.</w:t>
            </w:r>
            <w:r w:rsidRPr="00241A2A">
              <w:rPr>
                <w:rFonts w:eastAsia="Arial" w:cs="Arial"/>
              </w:rPr>
              <w:t xml:space="preserve"> </w:t>
            </w:r>
          </w:p>
          <w:p w14:paraId="4E4326F0" w14:textId="08DB8D98" w:rsidR="00726F29" w:rsidRPr="007A687C" w:rsidRDefault="00726F29" w:rsidP="00726F29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u w:val="single"/>
              </w:rPr>
            </w:pPr>
            <w:r>
              <w:rPr>
                <w:rFonts w:eastAsia="Arial" w:cs="Arial"/>
                <w:u w:val="single"/>
              </w:rPr>
              <w:t>U</w:t>
            </w:r>
            <w:r w:rsidRPr="007A687C">
              <w:rPr>
                <w:rFonts w:eastAsia="Arial" w:cs="Arial"/>
                <w:u w:val="single"/>
              </w:rPr>
              <w:t>pdate</w:t>
            </w:r>
            <w:r>
              <w:rPr>
                <w:rFonts w:eastAsia="Arial" w:cs="Arial"/>
                <w:u w:val="single"/>
              </w:rPr>
              <w:t xml:space="preserve"> on </w:t>
            </w:r>
            <w:r w:rsidR="00AB02A0">
              <w:rPr>
                <w:rFonts w:eastAsia="Arial" w:cs="Arial"/>
                <w:u w:val="single"/>
              </w:rPr>
              <w:t>air quality monitoring stations</w:t>
            </w:r>
          </w:p>
          <w:p w14:paraId="084B3F74" w14:textId="77777777" w:rsidR="001F1DA1" w:rsidRDefault="001F1DA1" w:rsidP="001F1DA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12DCD">
              <w:rPr>
                <w:rFonts w:eastAsia="Arial" w:cs="Arial"/>
              </w:rPr>
              <w:t>CoA E37 requires that an audit is undertaken at six monthly intervals for the air quality monitoring (in-tunnel and ambient). The first audit was completed in December 2023 for the period 20 January to 20 July 2023. A copy of the audit report was provided to the AQCCC on 7 March 2024, for information</w:t>
            </w:r>
            <w:r>
              <w:rPr>
                <w:rFonts w:eastAsia="Arial" w:cs="Arial"/>
              </w:rPr>
              <w:t>.</w:t>
            </w:r>
          </w:p>
          <w:p w14:paraId="49CDEEE0" w14:textId="77777777" w:rsidR="001F1DA1" w:rsidRDefault="001F1DA1" w:rsidP="001F1DA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67B71">
              <w:rPr>
                <w:rFonts w:eastAsia="Arial" w:cs="Arial"/>
                <w:i/>
                <w:iCs/>
                <w:u w:val="single"/>
              </w:rPr>
              <w:t>Discussion</w:t>
            </w:r>
            <w:r>
              <w:rPr>
                <w:rFonts w:eastAsia="Arial" w:cs="Arial"/>
              </w:rPr>
              <w:t>:</w:t>
            </w:r>
          </w:p>
          <w:p w14:paraId="7C51E7E1" w14:textId="77777777" w:rsidR="001F1DA1" w:rsidRPr="00B67B71" w:rsidRDefault="001F1DA1" w:rsidP="001F1DA1">
            <w:pPr>
              <w:pStyle w:val="ListParagraph"/>
              <w:numPr>
                <w:ilvl w:val="0"/>
                <w:numId w:val="27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 w:rsidRPr="00B67B71">
              <w:rPr>
                <w:rFonts w:eastAsia="Arial" w:cs="Arial"/>
                <w:i/>
                <w:iCs/>
              </w:rPr>
              <w:t>Members queried Page 5, Point 1.3.1, dot point 2, Air Quality Monitoring where Condition E22 is a reference but there is no explanation as to what E22 is specifically about unlike the explanations of the other conditions throughout the Report.</w:t>
            </w:r>
          </w:p>
          <w:p w14:paraId="6D39A124" w14:textId="4F593913" w:rsidR="001F1DA1" w:rsidRDefault="001F1DA1" w:rsidP="001F1DA1">
            <w:pPr>
              <w:pStyle w:val="ListParagraph"/>
              <w:numPr>
                <w:ilvl w:val="0"/>
                <w:numId w:val="27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 project team undertook to raise this with the auditor and ask him to address the matter in the </w:t>
            </w:r>
            <w:r w:rsidR="000D3ACB">
              <w:rPr>
                <w:rFonts w:eastAsia="Arial" w:cs="Arial"/>
              </w:rPr>
              <w:t xml:space="preserve">next audit </w:t>
            </w:r>
            <w:r>
              <w:rPr>
                <w:rFonts w:eastAsia="Arial" w:cs="Arial"/>
              </w:rPr>
              <w:t>report.</w:t>
            </w:r>
          </w:p>
          <w:p w14:paraId="79794725" w14:textId="5565CE15" w:rsidR="00AB02A0" w:rsidRPr="007A687C" w:rsidRDefault="00AB02A0" w:rsidP="00AB02A0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u w:val="single"/>
              </w:rPr>
            </w:pPr>
            <w:r>
              <w:rPr>
                <w:rFonts w:eastAsia="Arial" w:cs="Arial"/>
                <w:u w:val="single"/>
              </w:rPr>
              <w:t>U</w:t>
            </w:r>
            <w:r w:rsidRPr="007A687C">
              <w:rPr>
                <w:rFonts w:eastAsia="Arial" w:cs="Arial"/>
                <w:u w:val="single"/>
              </w:rPr>
              <w:t>pdate</w:t>
            </w:r>
            <w:r>
              <w:rPr>
                <w:rFonts w:eastAsia="Arial" w:cs="Arial"/>
                <w:u w:val="single"/>
              </w:rPr>
              <w:t xml:space="preserve"> on M4-M8 Link</w:t>
            </w:r>
          </w:p>
          <w:p w14:paraId="228C0CF7" w14:textId="77777777" w:rsidR="00AB0A0E" w:rsidRDefault="001F1DA1" w:rsidP="00AB0A0E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 project team presented a slide on Transurban’s half-yearly results as made public on 8 February 2024: </w:t>
            </w:r>
            <w:hyperlink r:id="rId8" w:history="1">
              <w:r w:rsidRPr="001F1DA1">
                <w:rPr>
                  <w:rStyle w:val="Hyperlink"/>
                  <w:rFonts w:eastAsia="Arial" w:cs="Arial"/>
                </w:rPr>
                <w:t>https://www.Transurban.com/content/dam/investor-centre/01/1H24-ResultsPresentation.pdf</w:t>
              </w:r>
            </w:hyperlink>
          </w:p>
          <w:p w14:paraId="7692BF90" w14:textId="77777777" w:rsidR="001F1DA1" w:rsidRPr="001F1DA1" w:rsidRDefault="001F1DA1" w:rsidP="00AB0A0E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u w:val="single"/>
              </w:rPr>
            </w:pPr>
            <w:r w:rsidRPr="001F1DA1">
              <w:rPr>
                <w:rFonts w:eastAsia="Arial" w:cs="Arial"/>
                <w:u w:val="single"/>
              </w:rPr>
              <w:t>Campbell Road and Parramatta Road Ventilation Facilities:</w:t>
            </w:r>
          </w:p>
          <w:p w14:paraId="48DABDFB" w14:textId="25A273B5" w:rsidR="001F1DA1" w:rsidRDefault="001F1DA1" w:rsidP="00AB0A0E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 project team advised that </w:t>
            </w:r>
            <w:r w:rsidR="00056F70">
              <w:rPr>
                <w:rFonts w:eastAsia="Arial" w:cs="Arial"/>
              </w:rPr>
              <w:t>some of the axial fans</w:t>
            </w:r>
            <w:r w:rsidR="006C0E36">
              <w:rPr>
                <w:rFonts w:eastAsia="Arial" w:cs="Arial"/>
              </w:rPr>
              <w:t xml:space="preserve"> have not been operating as required </w:t>
            </w:r>
            <w:r w:rsidR="00056F70">
              <w:rPr>
                <w:rFonts w:eastAsia="Arial" w:cs="Arial"/>
              </w:rPr>
              <w:t>i</w:t>
            </w:r>
            <w:r w:rsidR="0004591A">
              <w:rPr>
                <w:rFonts w:eastAsia="Arial" w:cs="Arial"/>
              </w:rPr>
              <w:t xml:space="preserve">n </w:t>
            </w:r>
            <w:r>
              <w:rPr>
                <w:rFonts w:eastAsia="Arial" w:cs="Arial"/>
              </w:rPr>
              <w:t>two ventilation facilities – located at Campbell Road (CRVF) and Parramatta Road (PRVF)</w:t>
            </w:r>
            <w:r w:rsidR="006C0E36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As a result </w:t>
            </w:r>
            <w:r w:rsidR="006C0E36">
              <w:rPr>
                <w:rFonts w:eastAsia="Arial" w:cs="Arial"/>
              </w:rPr>
              <w:t xml:space="preserve">all </w:t>
            </w:r>
            <w:r w:rsidR="00FB69C3">
              <w:rPr>
                <w:rFonts w:eastAsia="Arial" w:cs="Arial"/>
              </w:rPr>
              <w:t xml:space="preserve">axial </w:t>
            </w:r>
            <w:r w:rsidR="006C0E36">
              <w:rPr>
                <w:rFonts w:eastAsia="Arial" w:cs="Arial"/>
              </w:rPr>
              <w:t>fans within these two ventilation facilities have been turned o</w:t>
            </w:r>
            <w:r w:rsidR="00E978EA">
              <w:rPr>
                <w:rFonts w:eastAsia="Arial" w:cs="Arial"/>
              </w:rPr>
              <w:t>f</w:t>
            </w:r>
            <w:r w:rsidR="006C0E36">
              <w:rPr>
                <w:rFonts w:eastAsia="Arial" w:cs="Arial"/>
              </w:rPr>
              <w:t xml:space="preserve">f to allow for further detailed testing and investigations. Given that these facilities form part of a larger ventilation network, </w:t>
            </w:r>
            <w:r>
              <w:rPr>
                <w:rFonts w:eastAsia="Arial" w:cs="Arial"/>
              </w:rPr>
              <w:t>compensatory changes have been made across the full ventilation system to ensure that the system overall remains compliant and safe.</w:t>
            </w:r>
          </w:p>
          <w:p w14:paraId="3CB249E3" w14:textId="2349D2CB" w:rsidR="001F1DA1" w:rsidRPr="001F1DA1" w:rsidRDefault="00B67B71" w:rsidP="00B67B7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  <w:lang w:val="en-US"/>
              </w:rPr>
              <w:t>As a result of the changes h</w:t>
            </w:r>
            <w:r w:rsidR="001F1DA1" w:rsidRPr="001F1DA1">
              <w:rPr>
                <w:rFonts w:eastAsia="Arial" w:cs="Arial"/>
                <w:lang w:val="en-US"/>
              </w:rPr>
              <w:t>owever, the</w:t>
            </w:r>
            <w:r>
              <w:rPr>
                <w:rFonts w:eastAsia="Arial" w:cs="Arial"/>
                <w:lang w:val="en-US"/>
              </w:rPr>
              <w:t xml:space="preserve"> project team advised that the</w:t>
            </w:r>
            <w:r w:rsidR="001F1DA1" w:rsidRPr="001F1DA1">
              <w:rPr>
                <w:rFonts w:eastAsia="Arial" w:cs="Arial"/>
                <w:lang w:val="en-US"/>
              </w:rPr>
              <w:t xml:space="preserve">re </w:t>
            </w:r>
            <w:r w:rsidR="000D3ACB">
              <w:rPr>
                <w:rFonts w:eastAsia="Arial" w:cs="Arial"/>
                <w:lang w:val="en-US"/>
              </w:rPr>
              <w:t>are</w:t>
            </w:r>
            <w:r w:rsidR="001F1DA1" w:rsidRPr="001F1DA1">
              <w:rPr>
                <w:rFonts w:eastAsia="Arial" w:cs="Arial"/>
                <w:lang w:val="en-US"/>
              </w:rPr>
              <w:t xml:space="preserve"> some portal emissions from two portals of the M4-M8 Link – Campbell Road, St Peters and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>Wattle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>Street,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>Haberfield. The</w:t>
            </w:r>
            <w:r>
              <w:rPr>
                <w:rFonts w:eastAsia="Arial" w:cs="Arial"/>
                <w:lang w:val="en-US"/>
              </w:rPr>
              <w:t xml:space="preserve"> project team consider the</w:t>
            </w:r>
            <w:r w:rsidR="001F1DA1" w:rsidRPr="001F1DA1">
              <w:rPr>
                <w:rFonts w:eastAsia="Arial" w:cs="Arial"/>
                <w:lang w:val="en-US"/>
              </w:rPr>
              <w:t xml:space="preserve">se emissions </w:t>
            </w:r>
            <w:r>
              <w:rPr>
                <w:rFonts w:eastAsia="Arial" w:cs="Arial"/>
                <w:lang w:val="en-US"/>
              </w:rPr>
              <w:t>to be</w:t>
            </w:r>
            <w:r w:rsidR="001F1DA1" w:rsidRPr="001F1DA1">
              <w:rPr>
                <w:rFonts w:eastAsia="Arial" w:cs="Arial"/>
                <w:lang w:val="en-US"/>
              </w:rPr>
              <w:t xml:space="preserve"> minor</w:t>
            </w:r>
            <w:r>
              <w:rPr>
                <w:rFonts w:eastAsia="Arial" w:cs="Arial"/>
                <w:lang w:val="en-US"/>
              </w:rPr>
              <w:t xml:space="preserve">, noting that </w:t>
            </w:r>
            <w:r w:rsidR="007E2BBE">
              <w:rPr>
                <w:rFonts w:eastAsia="Arial" w:cs="Arial"/>
                <w:lang w:val="en-US"/>
              </w:rPr>
              <w:t xml:space="preserve">pollution levels </w:t>
            </w:r>
            <w:r w:rsidR="001F1DA1" w:rsidRPr="001F1DA1">
              <w:rPr>
                <w:rFonts w:eastAsia="Arial" w:cs="Arial"/>
                <w:lang w:val="en-US"/>
              </w:rPr>
              <w:t xml:space="preserve">remain </w:t>
            </w:r>
            <w:r>
              <w:rPr>
                <w:rFonts w:eastAsia="Arial" w:cs="Arial"/>
                <w:lang w:val="en-US"/>
              </w:rPr>
              <w:t xml:space="preserve">well </w:t>
            </w:r>
            <w:r w:rsidR="001F1DA1" w:rsidRPr="001F1DA1">
              <w:rPr>
                <w:rFonts w:eastAsia="Arial" w:cs="Arial"/>
                <w:lang w:val="en-US"/>
              </w:rPr>
              <w:t>below the limits required to safely operate the tunnel</w:t>
            </w:r>
            <w:r>
              <w:rPr>
                <w:rFonts w:eastAsia="Arial" w:cs="Arial"/>
                <w:lang w:val="en-US"/>
              </w:rPr>
              <w:t xml:space="preserve"> and within</w:t>
            </w:r>
            <w:r w:rsidR="001A0204"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>the</w:t>
            </w:r>
            <w:r w:rsidR="001A0204"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 xml:space="preserve">requirements </w:t>
            </w:r>
            <w:r>
              <w:rPr>
                <w:rFonts w:eastAsia="Arial" w:cs="Arial"/>
                <w:lang w:val="en-US"/>
              </w:rPr>
              <w:t>of</w:t>
            </w:r>
            <w:r w:rsidR="001F1DA1" w:rsidRPr="001F1DA1">
              <w:rPr>
                <w:rFonts w:eastAsia="Arial" w:cs="Arial"/>
                <w:lang w:val="en-US"/>
              </w:rPr>
              <w:t xml:space="preserve"> the Minister's Conditions of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>Approval (</w:t>
            </w:r>
            <w:proofErr w:type="spellStart"/>
            <w:r w:rsidR="001F1DA1" w:rsidRPr="001F1DA1">
              <w:rPr>
                <w:rFonts w:eastAsia="Arial" w:cs="Arial"/>
                <w:lang w:val="en-US"/>
              </w:rPr>
              <w:t>MC</w:t>
            </w:r>
            <w:r w:rsidR="000D3ACB">
              <w:rPr>
                <w:rFonts w:eastAsia="Arial" w:cs="Arial"/>
                <w:lang w:val="en-US"/>
              </w:rPr>
              <w:t>o</w:t>
            </w:r>
            <w:r w:rsidR="001F1DA1" w:rsidRPr="001F1DA1">
              <w:rPr>
                <w:rFonts w:eastAsia="Arial" w:cs="Arial"/>
                <w:lang w:val="en-US"/>
              </w:rPr>
              <w:t>A</w:t>
            </w:r>
            <w:proofErr w:type="spellEnd"/>
            <w:r w:rsidR="001F1DA1" w:rsidRPr="001F1DA1">
              <w:rPr>
                <w:rFonts w:eastAsia="Arial" w:cs="Arial"/>
                <w:lang w:val="en-US"/>
              </w:rPr>
              <w:t>) and Environmental Protection</w:t>
            </w:r>
            <w:r w:rsidR="001A0204">
              <w:rPr>
                <w:rFonts w:eastAsia="Arial" w:cs="Arial"/>
                <w:lang w:val="en-US"/>
              </w:rPr>
              <w:t xml:space="preserve"> </w:t>
            </w:r>
            <w:proofErr w:type="spellStart"/>
            <w:r w:rsidR="001F1DA1" w:rsidRPr="001F1DA1">
              <w:rPr>
                <w:rFonts w:eastAsia="Arial" w:cs="Arial"/>
                <w:lang w:val="en-US"/>
              </w:rPr>
              <w:t>Licence</w:t>
            </w:r>
            <w:proofErr w:type="spellEnd"/>
            <w:r w:rsidR="001A0204">
              <w:rPr>
                <w:rFonts w:eastAsia="Arial" w:cs="Arial"/>
                <w:lang w:val="en-US"/>
              </w:rPr>
              <w:t xml:space="preserve"> </w:t>
            </w:r>
            <w:r w:rsidR="001F1DA1" w:rsidRPr="001F1DA1">
              <w:rPr>
                <w:rFonts w:eastAsia="Arial" w:cs="Arial"/>
                <w:lang w:val="en-US"/>
              </w:rPr>
              <w:t>(EPL) for air quality limits and goals.</w:t>
            </w:r>
          </w:p>
          <w:p w14:paraId="7FC1A670" w14:textId="0DD3593C" w:rsidR="00B67B71" w:rsidRPr="00B67B71" w:rsidRDefault="00B67B71" w:rsidP="00B67B7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  <w:lang w:val="en-US"/>
              </w:rPr>
              <w:t>The project team advise that they</w:t>
            </w:r>
            <w:r w:rsidRPr="00B67B71">
              <w:rPr>
                <w:rFonts w:eastAsia="Arial" w:cs="Arial"/>
                <w:lang w:val="en-US"/>
              </w:rPr>
              <w:t xml:space="preserve"> continue to monitor for in-tunnel, ambient and ventilation</w:t>
            </w:r>
            <w:r w:rsidR="00AB5765">
              <w:rPr>
                <w:rFonts w:eastAsia="Arial" w:cs="Arial"/>
                <w:lang w:val="en-US"/>
              </w:rPr>
              <w:t xml:space="preserve"> outlet</w:t>
            </w:r>
            <w:r w:rsidRPr="00B67B71">
              <w:rPr>
                <w:rFonts w:eastAsia="Arial" w:cs="Arial"/>
                <w:lang w:val="en-US"/>
              </w:rPr>
              <w:t xml:space="preserve"> air quality. All data is</w:t>
            </w:r>
            <w:r>
              <w:rPr>
                <w:rFonts w:eastAsia="Arial" w:cs="Arial"/>
                <w:lang w:val="en-US"/>
              </w:rPr>
              <w:t xml:space="preserve"> also</w:t>
            </w:r>
            <w:r w:rsidRPr="00B67B71">
              <w:rPr>
                <w:rFonts w:eastAsia="Arial" w:cs="Arial"/>
                <w:lang w:val="en-US"/>
              </w:rPr>
              <w:t xml:space="preserve"> live and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Pr="00B67B71">
              <w:rPr>
                <w:rFonts w:eastAsia="Arial" w:cs="Arial"/>
                <w:lang w:val="en-US"/>
              </w:rPr>
              <w:t>publicly available via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Pr="00B67B71">
              <w:rPr>
                <w:rFonts w:eastAsia="Arial" w:cs="Arial"/>
                <w:lang w:val="en-US"/>
              </w:rPr>
              <w:t>the</w:t>
            </w:r>
            <w:r>
              <w:rPr>
                <w:rFonts w:eastAsia="Arial" w:cs="Arial"/>
                <w:lang w:val="en-US"/>
              </w:rPr>
              <w:t xml:space="preserve"> </w:t>
            </w:r>
            <w:proofErr w:type="spellStart"/>
            <w:r w:rsidRPr="00B67B71">
              <w:rPr>
                <w:rFonts w:eastAsia="Arial" w:cs="Arial"/>
                <w:lang w:val="en-US"/>
              </w:rPr>
              <w:t>Linkt</w:t>
            </w:r>
            <w:proofErr w:type="spellEnd"/>
            <w:r>
              <w:rPr>
                <w:rFonts w:eastAsia="Arial" w:cs="Arial"/>
                <w:lang w:val="en-US"/>
              </w:rPr>
              <w:t xml:space="preserve"> </w:t>
            </w:r>
            <w:r w:rsidRPr="00B67B71">
              <w:rPr>
                <w:rFonts w:eastAsia="Arial" w:cs="Arial"/>
                <w:lang w:val="en-US"/>
              </w:rPr>
              <w:t>website.</w:t>
            </w:r>
            <w:r>
              <w:rPr>
                <w:rFonts w:eastAsia="Arial" w:cs="Arial"/>
                <w:lang w:val="en-US"/>
              </w:rPr>
              <w:t xml:space="preserve"> A</w:t>
            </w:r>
            <w:r w:rsidRPr="00B67B71">
              <w:rPr>
                <w:rFonts w:eastAsia="Arial" w:cs="Arial"/>
                <w:lang w:val="en-US"/>
              </w:rPr>
              <w:t>ir quality</w:t>
            </w:r>
            <w:r>
              <w:rPr>
                <w:rFonts w:eastAsia="Arial" w:cs="Arial"/>
                <w:lang w:val="en-US"/>
              </w:rPr>
              <w:t xml:space="preserve"> is also being monitored</w:t>
            </w:r>
            <w:r w:rsidRPr="00B67B71">
              <w:rPr>
                <w:rFonts w:eastAsia="Arial" w:cs="Arial"/>
                <w:lang w:val="en-US"/>
              </w:rPr>
              <w:t xml:space="preserve"> at each location. </w:t>
            </w:r>
            <w:r>
              <w:rPr>
                <w:rFonts w:eastAsia="Arial" w:cs="Arial"/>
                <w:lang w:val="en-US"/>
              </w:rPr>
              <w:t xml:space="preserve">To date </w:t>
            </w:r>
            <w:r w:rsidR="00EE5A04">
              <w:rPr>
                <w:rFonts w:eastAsia="Arial" w:cs="Arial"/>
                <w:lang w:val="en-US"/>
              </w:rPr>
              <w:t xml:space="preserve">there is no indication that the portal </w:t>
            </w:r>
            <w:proofErr w:type="spellStart"/>
            <w:r w:rsidR="00EE5A04">
              <w:rPr>
                <w:rFonts w:eastAsia="Arial" w:cs="Arial"/>
                <w:lang w:val="en-US"/>
              </w:rPr>
              <w:t>emssions</w:t>
            </w:r>
            <w:proofErr w:type="spellEnd"/>
            <w:r w:rsidR="00EE5A04">
              <w:rPr>
                <w:rFonts w:eastAsia="Arial" w:cs="Arial"/>
                <w:lang w:val="en-US"/>
              </w:rPr>
              <w:t xml:space="preserve"> have a </w:t>
            </w:r>
            <w:proofErr w:type="spellStart"/>
            <w:r w:rsidR="00EE5A04">
              <w:rPr>
                <w:rFonts w:eastAsia="Arial" w:cs="Arial"/>
                <w:lang w:val="en-US"/>
              </w:rPr>
              <w:t>measureable</w:t>
            </w:r>
            <w:proofErr w:type="spellEnd"/>
            <w:r w:rsidR="00EE5A04">
              <w:rPr>
                <w:rFonts w:eastAsia="Arial" w:cs="Arial"/>
                <w:lang w:val="en-US"/>
              </w:rPr>
              <w:t xml:space="preserve"> impact on the surrounding community. This is to be expected due to the relatively small </w:t>
            </w:r>
            <w:proofErr w:type="gramStart"/>
            <w:r w:rsidR="00EE5A04">
              <w:rPr>
                <w:rFonts w:eastAsia="Arial" w:cs="Arial"/>
                <w:lang w:val="en-US"/>
              </w:rPr>
              <w:t>amount</w:t>
            </w:r>
            <w:proofErr w:type="gramEnd"/>
            <w:r w:rsidR="00EE5A04">
              <w:rPr>
                <w:rFonts w:eastAsia="Arial" w:cs="Arial"/>
                <w:lang w:val="en-US"/>
              </w:rPr>
              <w:t xml:space="preserve"> of emissions. Monitoring and modelling </w:t>
            </w:r>
            <w:proofErr w:type="gramStart"/>
            <w:r w:rsidR="00EE5A04">
              <w:rPr>
                <w:rFonts w:eastAsia="Arial" w:cs="Arial"/>
                <w:lang w:val="en-US"/>
              </w:rPr>
              <w:t>is</w:t>
            </w:r>
            <w:proofErr w:type="gramEnd"/>
            <w:r w:rsidR="00EE5A04">
              <w:rPr>
                <w:rFonts w:eastAsia="Arial" w:cs="Arial"/>
                <w:lang w:val="en-US"/>
              </w:rPr>
              <w:t xml:space="preserve"> ongoing.</w:t>
            </w:r>
            <w:r w:rsidRPr="00B67B71">
              <w:rPr>
                <w:rFonts w:eastAsia="Arial" w:cs="Arial"/>
                <w:lang w:val="en-US"/>
              </w:rPr>
              <w:t xml:space="preserve"> </w:t>
            </w:r>
          </w:p>
          <w:p w14:paraId="1CECF4D5" w14:textId="38D11A7B" w:rsidR="00B67B71" w:rsidRPr="00B67B71" w:rsidRDefault="00B67B71" w:rsidP="00B67B7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67B71">
              <w:rPr>
                <w:rFonts w:eastAsia="Arial" w:cs="Arial"/>
                <w:lang w:val="en-US"/>
              </w:rPr>
              <w:t>Relevant regulatory agencies including the DPHI, EPA and TfNSW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Pr="00B67B71">
              <w:rPr>
                <w:rFonts w:eastAsia="Arial" w:cs="Arial"/>
                <w:lang w:val="en-US"/>
              </w:rPr>
              <w:t>have been notified and will continue to be consulted</w:t>
            </w:r>
            <w:r>
              <w:rPr>
                <w:rFonts w:eastAsia="Arial" w:cs="Arial"/>
                <w:lang w:val="en-US"/>
              </w:rPr>
              <w:t xml:space="preserve"> </w:t>
            </w:r>
            <w:r w:rsidRPr="00B67B71">
              <w:rPr>
                <w:rFonts w:eastAsia="Arial" w:cs="Arial"/>
                <w:lang w:val="en-US"/>
              </w:rPr>
              <w:t>throughout the rectification phase.</w:t>
            </w:r>
          </w:p>
          <w:p w14:paraId="7A8CD06B" w14:textId="77777777" w:rsidR="00B67B71" w:rsidRDefault="00B67B71" w:rsidP="00B67B71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67B71">
              <w:rPr>
                <w:rFonts w:eastAsia="Arial" w:cs="Arial"/>
                <w:i/>
                <w:iCs/>
                <w:u w:val="single"/>
              </w:rPr>
              <w:t>Discussion</w:t>
            </w:r>
            <w:r>
              <w:rPr>
                <w:rFonts w:eastAsia="Arial" w:cs="Arial"/>
              </w:rPr>
              <w:t>:</w:t>
            </w:r>
          </w:p>
          <w:p w14:paraId="28E67A9E" w14:textId="77777777" w:rsidR="001F1DA1" w:rsidRPr="00B67B71" w:rsidRDefault="00B67B71" w:rsidP="00B67B71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 w:rsidRPr="00B67B71">
              <w:rPr>
                <w:rFonts w:eastAsia="Arial" w:cs="Arial"/>
                <w:i/>
                <w:iCs/>
              </w:rPr>
              <w:t>Members queried how many fans are now not working?</w:t>
            </w:r>
          </w:p>
          <w:p w14:paraId="21862967" w14:textId="0E1559EC" w:rsidR="00B67B71" w:rsidRDefault="00B67B71" w:rsidP="00B67B71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 project team advised that all of the axial fans at CRVF and PRVF </w:t>
            </w:r>
            <w:r w:rsidR="00EE5A04">
              <w:rPr>
                <w:rFonts w:eastAsia="Arial" w:cs="Arial"/>
              </w:rPr>
              <w:t>are available to operate in a tunnel fire to manage smoke and protect tunnel users. The fans are not be</w:t>
            </w:r>
            <w:r w:rsidR="00E978EA">
              <w:rPr>
                <w:rFonts w:eastAsia="Arial" w:cs="Arial"/>
              </w:rPr>
              <w:t>ing</w:t>
            </w:r>
            <w:r w:rsidR="00EE5A04">
              <w:rPr>
                <w:rFonts w:eastAsia="Arial" w:cs="Arial"/>
              </w:rPr>
              <w:t xml:space="preserve"> used for normal operations until further testing and investigations have been completed.</w:t>
            </w:r>
            <w:r>
              <w:rPr>
                <w:rFonts w:eastAsia="Arial" w:cs="Arial"/>
              </w:rPr>
              <w:t xml:space="preserve"> Changes have been made to the full system to address the ventilation overall e.g. jet fans are working harder</w:t>
            </w:r>
            <w:r w:rsidR="00EE5A04">
              <w:rPr>
                <w:rFonts w:eastAsia="Arial" w:cs="Arial"/>
              </w:rPr>
              <w:t xml:space="preserve"> as well as axial fans in adjoining ventilation facilities</w:t>
            </w:r>
            <w:r>
              <w:rPr>
                <w:rFonts w:eastAsia="Arial" w:cs="Arial"/>
              </w:rPr>
              <w:t>.</w:t>
            </w:r>
          </w:p>
          <w:p w14:paraId="26379AB5" w14:textId="40218E52" w:rsidR="00B67B71" w:rsidRDefault="00B67B71" w:rsidP="00B67B71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The project team reconfirmed that the system remains safe</w:t>
            </w:r>
            <w:r w:rsidR="000D3ACB">
              <w:rPr>
                <w:rFonts w:eastAsia="Arial" w:cs="Arial"/>
              </w:rPr>
              <w:t xml:space="preserve"> and compliant with the air quality limits</w:t>
            </w:r>
            <w:r>
              <w:rPr>
                <w:rFonts w:eastAsia="Arial" w:cs="Arial"/>
              </w:rPr>
              <w:t>.</w:t>
            </w:r>
          </w:p>
          <w:p w14:paraId="133363C7" w14:textId="77777777" w:rsidR="00BE01FE" w:rsidRPr="00BE01FE" w:rsidRDefault="00BE01FE" w:rsidP="00BE01FE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</w:p>
          <w:p w14:paraId="170322C9" w14:textId="523BE591" w:rsidR="00B67B71" w:rsidRPr="00BE01FE" w:rsidRDefault="00B67B71" w:rsidP="00B67B71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 w:rsidRPr="00BE01FE">
              <w:rPr>
                <w:rFonts w:eastAsia="Arial" w:cs="Arial"/>
                <w:i/>
                <w:iCs/>
              </w:rPr>
              <w:t xml:space="preserve">Members queried the impact on ambient air at the portals and the assertion by the project team that there was no discernible difference </w:t>
            </w:r>
            <w:r w:rsidR="00E978EA">
              <w:rPr>
                <w:rFonts w:eastAsia="Arial" w:cs="Arial"/>
                <w:i/>
                <w:iCs/>
              </w:rPr>
              <w:t xml:space="preserve">resulting from the axial fans being turned off </w:t>
            </w:r>
            <w:r w:rsidRPr="00BE01FE">
              <w:rPr>
                <w:rFonts w:eastAsia="Arial" w:cs="Arial"/>
                <w:i/>
                <w:iCs/>
              </w:rPr>
              <w:t>with graphs indicat</w:t>
            </w:r>
            <w:r w:rsidR="000D3ACB">
              <w:rPr>
                <w:rFonts w:eastAsia="Arial" w:cs="Arial"/>
                <w:i/>
                <w:iCs/>
              </w:rPr>
              <w:t>ing</w:t>
            </w:r>
            <w:r w:rsidRPr="00BE01FE">
              <w:rPr>
                <w:rFonts w:eastAsia="Arial" w:cs="Arial"/>
                <w:i/>
                <w:iCs/>
              </w:rPr>
              <w:t xml:space="preserve"> a </w:t>
            </w:r>
            <w:r w:rsidR="00EE5A04">
              <w:rPr>
                <w:rFonts w:eastAsia="Arial" w:cs="Arial"/>
                <w:i/>
                <w:iCs/>
              </w:rPr>
              <w:t>change in air</w:t>
            </w:r>
            <w:r w:rsidR="00E978EA">
              <w:rPr>
                <w:rFonts w:eastAsia="Arial" w:cs="Arial"/>
                <w:i/>
                <w:iCs/>
              </w:rPr>
              <w:t xml:space="preserve"> </w:t>
            </w:r>
            <w:r w:rsidR="00EE5A04">
              <w:rPr>
                <w:rFonts w:eastAsia="Arial" w:cs="Arial"/>
                <w:i/>
                <w:iCs/>
              </w:rPr>
              <w:t xml:space="preserve">quality when the portal emissions </w:t>
            </w:r>
            <w:proofErr w:type="gramStart"/>
            <w:r w:rsidR="00EE5A04">
              <w:rPr>
                <w:rFonts w:eastAsia="Arial" w:cs="Arial"/>
                <w:i/>
                <w:iCs/>
              </w:rPr>
              <w:t>began</w:t>
            </w:r>
            <w:r w:rsidR="00BE01FE" w:rsidRPr="00BE01FE">
              <w:rPr>
                <w:rFonts w:eastAsia="Arial" w:cs="Arial"/>
                <w:i/>
                <w:iCs/>
              </w:rPr>
              <w:t>?</w:t>
            </w:r>
            <w:proofErr w:type="gramEnd"/>
          </w:p>
          <w:p w14:paraId="5866D0C0" w14:textId="17296572" w:rsidR="00BE01FE" w:rsidRDefault="00BE01FE" w:rsidP="00B67B71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 project team </w:t>
            </w:r>
            <w:r w:rsidR="000D3ACB">
              <w:rPr>
                <w:rFonts w:eastAsia="Arial" w:cs="Arial"/>
              </w:rPr>
              <w:t>acknowledged</w:t>
            </w:r>
            <w:r>
              <w:rPr>
                <w:rFonts w:eastAsia="Arial" w:cs="Arial"/>
              </w:rPr>
              <w:t xml:space="preserve"> that there was a discernible difference on the graphs however the air quality outcomes remain compliant and a long way below the goal / benchmark</w:t>
            </w:r>
            <w:r w:rsidR="00E978EA">
              <w:rPr>
                <w:rFonts w:eastAsia="Arial" w:cs="Arial"/>
              </w:rPr>
              <w:t>.</w:t>
            </w:r>
            <w:r w:rsidR="00EE5A04">
              <w:rPr>
                <w:rFonts w:eastAsia="Arial" w:cs="Arial"/>
              </w:rPr>
              <w:t xml:space="preserve"> </w:t>
            </w:r>
            <w:r w:rsidR="00E978EA">
              <w:rPr>
                <w:rFonts w:eastAsia="Arial" w:cs="Arial"/>
              </w:rPr>
              <w:t>It is not yet confirmed</w:t>
            </w:r>
            <w:r w:rsidR="00EE5A04">
              <w:rPr>
                <w:rFonts w:eastAsia="Arial" w:cs="Arial"/>
              </w:rPr>
              <w:t xml:space="preserve"> that the change is as a result of the portal emission.  However, further modelling is proposed to </w:t>
            </w:r>
            <w:r w:rsidR="00E978EA">
              <w:rPr>
                <w:rFonts w:eastAsia="Arial" w:cs="Arial"/>
              </w:rPr>
              <w:t>investigate</w:t>
            </w:r>
            <w:r w:rsidR="00EE5A04">
              <w:rPr>
                <w:rFonts w:eastAsia="Arial" w:cs="Arial"/>
              </w:rPr>
              <w:t xml:space="preserve"> this.</w:t>
            </w:r>
          </w:p>
          <w:p w14:paraId="23793EEE" w14:textId="72AE39BB" w:rsidR="00BE01FE" w:rsidRDefault="00BE01FE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 w:rsidRPr="00BE01FE">
              <w:rPr>
                <w:rFonts w:eastAsia="Arial" w:cs="Arial"/>
                <w:i/>
                <w:iCs/>
              </w:rPr>
              <w:lastRenderedPageBreak/>
              <w:t xml:space="preserve">Members queried how the community will be provided with oversight of issues such as these </w:t>
            </w:r>
            <w:r w:rsidR="001F3864">
              <w:rPr>
                <w:rFonts w:eastAsia="Arial" w:cs="Arial"/>
                <w:i/>
                <w:iCs/>
              </w:rPr>
              <w:t xml:space="preserve">if they arise </w:t>
            </w:r>
            <w:r w:rsidRPr="00BE01FE">
              <w:rPr>
                <w:rFonts w:eastAsia="Arial" w:cs="Arial"/>
                <w:i/>
                <w:iCs/>
              </w:rPr>
              <w:t>once the AQCCC is disbanded, and how transparency will be ensured?</w:t>
            </w:r>
          </w:p>
          <w:p w14:paraId="4C1C26BB" w14:textId="2E1DFD8F" w:rsidR="002C1FD9" w:rsidRPr="00BE01FE" w:rsidRDefault="002C1FD9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r>
              <w:rPr>
                <w:rFonts w:eastAsia="Arial" w:cs="Arial"/>
                <w:i/>
                <w:iCs/>
              </w:rPr>
              <w:t xml:space="preserve">Members noted a further loss of confidence in the project team considering that this event has happened following on from </w:t>
            </w:r>
            <w:r w:rsidR="00ED5DB4">
              <w:rPr>
                <w:rFonts w:eastAsia="Arial" w:cs="Arial"/>
                <w:i/>
                <w:iCs/>
              </w:rPr>
              <w:t>a previo</w:t>
            </w:r>
            <w:r w:rsidR="00E978EA">
              <w:rPr>
                <w:rFonts w:eastAsia="Arial" w:cs="Arial"/>
                <w:i/>
                <w:iCs/>
              </w:rPr>
              <w:t>u</w:t>
            </w:r>
            <w:r w:rsidR="00ED5DB4">
              <w:rPr>
                <w:rFonts w:eastAsia="Arial" w:cs="Arial"/>
                <w:i/>
                <w:iCs/>
              </w:rPr>
              <w:t xml:space="preserve">s </w:t>
            </w:r>
            <w:r>
              <w:rPr>
                <w:rFonts w:eastAsia="Arial" w:cs="Arial"/>
                <w:i/>
                <w:iCs/>
              </w:rPr>
              <w:t>AQMS</w:t>
            </w:r>
            <w:r w:rsidR="00ED5DB4">
              <w:rPr>
                <w:rFonts w:eastAsia="Arial" w:cs="Arial"/>
                <w:i/>
                <w:iCs/>
              </w:rPr>
              <w:t xml:space="preserve"> failure.</w:t>
            </w:r>
          </w:p>
          <w:p w14:paraId="4A87CB4D" w14:textId="4F950FD2" w:rsidR="00BE01FE" w:rsidRDefault="002C1FD9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The project team noted that they remain required to report to EPA and DPHI in the same way that they have done for this event</w:t>
            </w:r>
            <w:r w:rsidR="001F3864">
              <w:rPr>
                <w:rFonts w:eastAsia="Arial" w:cs="Arial"/>
              </w:rPr>
              <w:t xml:space="preserve"> as the </w:t>
            </w:r>
            <w:proofErr w:type="spellStart"/>
            <w:r w:rsidR="001F3864">
              <w:rPr>
                <w:rFonts w:eastAsia="Arial" w:cs="Arial"/>
              </w:rPr>
              <w:t>MCoA</w:t>
            </w:r>
            <w:r w:rsidR="00F0028E">
              <w:rPr>
                <w:rFonts w:eastAsia="Arial" w:cs="Arial"/>
              </w:rPr>
              <w:t>s</w:t>
            </w:r>
            <w:proofErr w:type="spellEnd"/>
            <w:r w:rsidR="001F3864">
              <w:rPr>
                <w:rFonts w:eastAsia="Arial" w:cs="Arial"/>
              </w:rPr>
              <w:t xml:space="preserve"> govern the project for its entire operation</w:t>
            </w:r>
            <w:r w:rsidR="00ED5DB4">
              <w:rPr>
                <w:rFonts w:eastAsia="Arial" w:cs="Arial"/>
              </w:rPr>
              <w:t>al life</w:t>
            </w:r>
            <w:r w:rsidR="001F3864">
              <w:rPr>
                <w:rFonts w:eastAsia="Arial" w:cs="Arial"/>
              </w:rPr>
              <w:t>.</w:t>
            </w:r>
          </w:p>
          <w:p w14:paraId="65FDA905" w14:textId="248CBFF6" w:rsidR="002C1FD9" w:rsidRDefault="002C1FD9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 addition, data will still continue to be publicly reported on the </w:t>
            </w:r>
            <w:proofErr w:type="spellStart"/>
            <w:r>
              <w:rPr>
                <w:rFonts w:eastAsia="Arial" w:cs="Arial"/>
              </w:rPr>
              <w:t>Linkt</w:t>
            </w:r>
            <w:proofErr w:type="spellEnd"/>
            <w:r>
              <w:rPr>
                <w:rFonts w:eastAsia="Arial" w:cs="Arial"/>
              </w:rPr>
              <w:t xml:space="preserve"> website.</w:t>
            </w:r>
          </w:p>
          <w:p w14:paraId="14B0EE3D" w14:textId="6A9EB31B" w:rsidR="002C1FD9" w:rsidRDefault="002C1FD9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In the event of a major issue, the project team advised that their community engagement team remains in place and would be activated to engage with the community through</w:t>
            </w:r>
            <w:r w:rsidR="001F3864">
              <w:rPr>
                <w:rFonts w:eastAsia="Arial" w:cs="Arial"/>
              </w:rPr>
              <w:t xml:space="preserve"> avenues like</w:t>
            </w:r>
            <w:r>
              <w:rPr>
                <w:rFonts w:eastAsia="Arial" w:cs="Arial"/>
              </w:rPr>
              <w:t xml:space="preserve"> letterbox drops, meetings and the like.</w:t>
            </w:r>
          </w:p>
          <w:p w14:paraId="653C0E1A" w14:textId="77777777" w:rsidR="002C1FD9" w:rsidRDefault="002C1FD9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DPHI advised that in the case of a major issue they would require public disclosure as well as community consultation.</w:t>
            </w:r>
          </w:p>
          <w:p w14:paraId="42A2546D" w14:textId="136A5AE2" w:rsidR="002C1FD9" w:rsidRPr="00BE01FE" w:rsidRDefault="002C1FD9" w:rsidP="00BE01FE">
            <w:pPr>
              <w:pStyle w:val="ListParagraph"/>
              <w:numPr>
                <w:ilvl w:val="0"/>
                <w:numId w:val="28"/>
              </w:num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EPA advised that for every incident there is an investigation and documentation and if it is considered to be in the community’s interest there is public notification.</w:t>
            </w:r>
          </w:p>
        </w:tc>
        <w:tc>
          <w:tcPr>
            <w:tcW w:w="1179" w:type="pct"/>
          </w:tcPr>
          <w:p w14:paraId="1748335C" w14:textId="77777777" w:rsidR="00E8347A" w:rsidRDefault="00E8347A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64CB05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316058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2EE5598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2240AA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DEE63C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876A23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6AF6A0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947B2E7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96B164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8598C2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BD3181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3B5526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E144508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C12EFF6" w14:textId="77777777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95A1313" w14:textId="6071366B" w:rsidR="001F1DA1" w:rsidRDefault="001F1DA1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P</w:t>
            </w:r>
            <w:r w:rsidRPr="001F1DA1">
              <w:rPr>
                <w:rFonts w:eastAsia="Arial" w:cs="Arial"/>
                <w:sz w:val="16"/>
                <w:szCs w:val="16"/>
              </w:rPr>
              <w:t xml:space="preserve">roject team to raise </w:t>
            </w:r>
            <w:r>
              <w:rPr>
                <w:rFonts w:eastAsia="Arial" w:cs="Arial"/>
                <w:sz w:val="16"/>
                <w:szCs w:val="16"/>
              </w:rPr>
              <w:t>the point at left with</w:t>
            </w:r>
            <w:r w:rsidRPr="001F1DA1">
              <w:rPr>
                <w:rFonts w:eastAsia="Arial" w:cs="Arial"/>
                <w:sz w:val="16"/>
                <w:szCs w:val="16"/>
              </w:rPr>
              <w:t xml:space="preserve"> the auditor and ask him to </w:t>
            </w:r>
            <w:r>
              <w:rPr>
                <w:rFonts w:eastAsia="Arial" w:cs="Arial"/>
                <w:sz w:val="16"/>
                <w:szCs w:val="16"/>
              </w:rPr>
              <w:t>update</w:t>
            </w:r>
            <w:r w:rsidRPr="001F1DA1">
              <w:rPr>
                <w:rFonts w:eastAsia="Arial" w:cs="Arial"/>
                <w:sz w:val="16"/>
                <w:szCs w:val="16"/>
              </w:rPr>
              <w:t xml:space="preserve"> in the</w:t>
            </w:r>
            <w:r w:rsidR="000D3ACB">
              <w:rPr>
                <w:rFonts w:eastAsia="Arial" w:cs="Arial"/>
                <w:sz w:val="16"/>
                <w:szCs w:val="16"/>
              </w:rPr>
              <w:t xml:space="preserve"> next audit</w:t>
            </w:r>
            <w:r w:rsidRPr="001F1DA1">
              <w:rPr>
                <w:rFonts w:eastAsia="Arial" w:cs="Arial"/>
                <w:sz w:val="16"/>
                <w:szCs w:val="16"/>
              </w:rPr>
              <w:t xml:space="preserve"> report.</w:t>
            </w:r>
          </w:p>
          <w:p w14:paraId="0B96799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2996C2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50051F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1E235E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3E11D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C54199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509F4A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8F01D8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F21F5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A39BA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963D58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692735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8D97B6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063439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8E2027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40E874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CBC7B9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4BE6C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E95D94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43D915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16BE902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331A8E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1D236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C786143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D362A5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222F5C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8345C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D2BF57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1F902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D909388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C9D2F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45CDD5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91C47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3553C7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279E7F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DBFC517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42503E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19F458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F56F8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9A834E2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9D4BA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ABFA39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A120D8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53173F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94E9C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BCDE6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5E4AFC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BC82E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D362F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065DD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3AB3FA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F55DCA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59ABCB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52E79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1AD4B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558569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F89209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08352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0F402D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D6F658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B077AB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6CA64A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0E5AA3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27FC44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EE7E59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E0DD70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8A2A7A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1BDCE2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75E30C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FA0AA3" w14:textId="77777777" w:rsidR="002C1FD9" w:rsidRDefault="002C1FD9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1246F9" w14:textId="77777777" w:rsidR="00576CB5" w:rsidRDefault="00576CB5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A2759D" w14:textId="77777777" w:rsidR="00576CB5" w:rsidRDefault="00576CB5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7CCA0F" w14:textId="77777777" w:rsidR="00576CB5" w:rsidRDefault="00576CB5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2E2CFC" w14:textId="77777777" w:rsidR="00A44FA8" w:rsidRDefault="00A44FA8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93E786" w14:textId="77777777" w:rsidR="00576CB5" w:rsidRDefault="00576CB5" w:rsidP="00E16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0C4633" w14:textId="77777777" w:rsidR="00A44FA8" w:rsidRPr="00566B63" w:rsidRDefault="00A44FA8" w:rsidP="00A44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566B63">
              <w:rPr>
                <w:b/>
                <w:bCs/>
                <w:i/>
                <w:iCs/>
                <w:sz w:val="16"/>
                <w:szCs w:val="16"/>
              </w:rPr>
              <w:lastRenderedPageBreak/>
              <w:t>Should a major event occur subsequent to the AQCCC being disbanded:</w:t>
            </w:r>
          </w:p>
          <w:p w14:paraId="4BEDD344" w14:textId="77777777" w:rsidR="00A44FA8" w:rsidRDefault="00A44FA8" w:rsidP="00A44FA8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 w:rsidRPr="002C1FD9">
              <w:rPr>
                <w:rFonts w:eastAsia="Arial" w:cs="Arial"/>
                <w:sz w:val="16"/>
                <w:szCs w:val="16"/>
              </w:rPr>
              <w:t xml:space="preserve">The </w:t>
            </w:r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project team</w:t>
            </w:r>
            <w:r w:rsidRPr="002C1FD9">
              <w:rPr>
                <w:rFonts w:eastAsia="Arial" w:cs="Arial"/>
                <w:sz w:val="16"/>
                <w:szCs w:val="16"/>
              </w:rPr>
              <w:t xml:space="preserve"> remain required to report to EPA and DPHI in </w:t>
            </w:r>
            <w:r>
              <w:rPr>
                <w:rFonts w:eastAsia="Arial" w:cs="Arial"/>
                <w:sz w:val="16"/>
                <w:szCs w:val="16"/>
              </w:rPr>
              <w:t>terms of the project Conditions of Approval and Environmental Protection Licence</w:t>
            </w:r>
            <w:r w:rsidRPr="002C1FD9">
              <w:rPr>
                <w:rFonts w:eastAsia="Arial" w:cs="Arial"/>
                <w:sz w:val="16"/>
                <w:szCs w:val="16"/>
              </w:rPr>
              <w:t>.</w:t>
            </w:r>
          </w:p>
          <w:p w14:paraId="7DCEAF24" w14:textId="77777777" w:rsidR="00A44FA8" w:rsidRPr="002C1FD9" w:rsidRDefault="00A44FA8" w:rsidP="00A44FA8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The </w:t>
            </w:r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project’s community engagement team</w:t>
            </w:r>
            <w:r w:rsidRPr="002C1FD9">
              <w:rPr>
                <w:rFonts w:eastAsia="Arial" w:cs="Arial"/>
                <w:sz w:val="16"/>
                <w:szCs w:val="16"/>
              </w:rPr>
              <w:t xml:space="preserve"> would be activated to engage with the community through letterbox drops, meetings and the like.</w:t>
            </w:r>
          </w:p>
          <w:p w14:paraId="7D21F74E" w14:textId="77777777" w:rsidR="00A44FA8" w:rsidRPr="002C1FD9" w:rsidRDefault="00A44FA8" w:rsidP="00A44FA8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Data</w:t>
            </w:r>
            <w:r w:rsidRPr="002C1FD9">
              <w:rPr>
                <w:rFonts w:eastAsia="Arial" w:cs="Arial"/>
                <w:sz w:val="16"/>
                <w:szCs w:val="16"/>
              </w:rPr>
              <w:t xml:space="preserve"> will continue to be </w:t>
            </w:r>
            <w:proofErr w:type="spellStart"/>
            <w:r w:rsidRPr="002C1FD9">
              <w:rPr>
                <w:rFonts w:eastAsia="Arial" w:cs="Arial"/>
                <w:sz w:val="16"/>
                <w:szCs w:val="16"/>
              </w:rPr>
              <w:t>publically</w:t>
            </w:r>
            <w:proofErr w:type="spellEnd"/>
            <w:r w:rsidRPr="002C1FD9">
              <w:rPr>
                <w:rFonts w:eastAsia="Arial" w:cs="Arial"/>
                <w:sz w:val="16"/>
                <w:szCs w:val="16"/>
              </w:rPr>
              <w:t xml:space="preserve"> reported on the </w:t>
            </w:r>
            <w:proofErr w:type="spellStart"/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Linkt</w:t>
            </w:r>
            <w:proofErr w:type="spellEnd"/>
            <w:r w:rsidRPr="002C1FD9">
              <w:rPr>
                <w:rFonts w:eastAsia="Arial" w:cs="Arial"/>
                <w:sz w:val="16"/>
                <w:szCs w:val="16"/>
              </w:rPr>
              <w:t xml:space="preserve"> </w:t>
            </w:r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website</w:t>
            </w:r>
            <w:r w:rsidRPr="002C1FD9">
              <w:rPr>
                <w:rFonts w:eastAsia="Arial" w:cs="Arial"/>
                <w:sz w:val="16"/>
                <w:szCs w:val="16"/>
              </w:rPr>
              <w:t>.</w:t>
            </w:r>
          </w:p>
          <w:p w14:paraId="1B195583" w14:textId="77777777" w:rsidR="00A44FA8" w:rsidRPr="002C1FD9" w:rsidRDefault="00A44FA8" w:rsidP="00A44FA8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DPHI</w:t>
            </w:r>
            <w:r w:rsidRPr="002C1FD9">
              <w:rPr>
                <w:rFonts w:eastAsia="Arial" w:cs="Arial"/>
                <w:sz w:val="16"/>
                <w:szCs w:val="16"/>
              </w:rPr>
              <w:t xml:space="preserve"> would require public disclosure as well as community consultation.</w:t>
            </w:r>
          </w:p>
          <w:p w14:paraId="688DB2C3" w14:textId="0B176457" w:rsidR="001F1DA1" w:rsidRPr="00566B63" w:rsidRDefault="00A44FA8" w:rsidP="00A44FA8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6"/>
                <w:szCs w:val="16"/>
              </w:rPr>
            </w:pPr>
            <w:r w:rsidRPr="00566B63">
              <w:rPr>
                <w:rFonts w:eastAsia="Arial" w:cs="Arial"/>
                <w:b/>
                <w:bCs/>
                <w:sz w:val="16"/>
                <w:szCs w:val="16"/>
              </w:rPr>
              <w:t>EPA</w:t>
            </w:r>
            <w:r w:rsidRPr="00566B63">
              <w:rPr>
                <w:rFonts w:eastAsia="Arial" w:cs="Arial"/>
                <w:sz w:val="16"/>
                <w:szCs w:val="16"/>
              </w:rPr>
              <w:t xml:space="preserve"> </w:t>
            </w:r>
            <w:r w:rsidR="00B34D9B">
              <w:rPr>
                <w:rFonts w:eastAsia="Arial" w:cs="Arial"/>
                <w:sz w:val="16"/>
                <w:szCs w:val="16"/>
              </w:rPr>
              <w:t>would oversee</w:t>
            </w:r>
            <w:r w:rsidR="00B34D9B" w:rsidRPr="00B34D9B">
              <w:rPr>
                <w:rFonts w:eastAsia="Arial" w:cs="Arial"/>
                <w:sz w:val="16"/>
                <w:szCs w:val="16"/>
              </w:rPr>
              <w:t xml:space="preserve"> an investigation and documentation and if it is considered to be in the community’s interest</w:t>
            </w:r>
            <w:r w:rsidR="00B34D9B">
              <w:rPr>
                <w:rFonts w:eastAsia="Arial" w:cs="Arial"/>
                <w:sz w:val="16"/>
                <w:szCs w:val="16"/>
              </w:rPr>
              <w:t>,</w:t>
            </w:r>
            <w:r w:rsidR="00B34D9B" w:rsidRPr="00B34D9B">
              <w:rPr>
                <w:rFonts w:eastAsia="Arial" w:cs="Arial"/>
                <w:sz w:val="16"/>
                <w:szCs w:val="16"/>
              </w:rPr>
              <w:t xml:space="preserve"> public notification</w:t>
            </w:r>
            <w:r w:rsidRPr="00566B63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75683F" w14:paraId="473597D9" w14:textId="77777777" w:rsidTr="003A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14:paraId="0B440636" w14:textId="23B2B047" w:rsidR="0075683F" w:rsidRDefault="00A31ADC" w:rsidP="00043B46">
            <w:r>
              <w:lastRenderedPageBreak/>
              <w:t>5</w:t>
            </w:r>
            <w:r w:rsidR="00BB4FF9">
              <w:t>.0</w:t>
            </w:r>
          </w:p>
        </w:tc>
        <w:tc>
          <w:tcPr>
            <w:tcW w:w="3540" w:type="pct"/>
          </w:tcPr>
          <w:p w14:paraId="6A04DF2B" w14:textId="77777777" w:rsidR="00726F29" w:rsidRPr="00F0244D" w:rsidRDefault="00726F29" w:rsidP="0072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0244D">
              <w:rPr>
                <w:b/>
                <w:bCs/>
              </w:rPr>
              <w:t>Other business</w:t>
            </w:r>
          </w:p>
          <w:p w14:paraId="5BF3EA2C" w14:textId="7A057E42" w:rsidR="00AB0A0E" w:rsidRPr="00AB0A0E" w:rsidRDefault="00AB0A0E" w:rsidP="00726F29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u w:val="single"/>
              </w:rPr>
            </w:pPr>
            <w:r w:rsidRPr="00AB0A0E">
              <w:rPr>
                <w:rFonts w:eastAsia="Arial" w:cs="Arial"/>
                <w:u w:val="single"/>
              </w:rPr>
              <w:t>Other business</w:t>
            </w:r>
          </w:p>
          <w:p w14:paraId="053D22D6" w14:textId="77EDEE50" w:rsidR="00726F29" w:rsidRDefault="001F3864" w:rsidP="00726F29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u w:val="single"/>
              </w:rPr>
            </w:pPr>
            <w:r>
              <w:rPr>
                <w:rFonts w:eastAsia="Arial" w:cs="Arial"/>
              </w:rPr>
              <w:t>No other business relating to the AQCCC was raised.</w:t>
            </w:r>
            <w:r w:rsidR="00E978EA">
              <w:rPr>
                <w:rFonts w:eastAsia="Arial" w:cs="Arial"/>
              </w:rPr>
              <w:t xml:space="preserve"> </w:t>
            </w:r>
          </w:p>
          <w:p w14:paraId="156E249E" w14:textId="4CFCEB15" w:rsidR="00726F29" w:rsidRPr="0074201F" w:rsidRDefault="00726F29" w:rsidP="00726F29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 </w:t>
            </w:r>
            <w:r w:rsidR="00A343CD">
              <w:rPr>
                <w:rFonts w:eastAsia="Arial" w:cs="Arial"/>
              </w:rPr>
              <w:t>forward meeting</w:t>
            </w:r>
            <w:r>
              <w:rPr>
                <w:rFonts w:eastAsia="Arial" w:cs="Arial"/>
              </w:rPr>
              <w:t xml:space="preserve"> schedule</w:t>
            </w:r>
            <w:r w:rsidR="00A343CD">
              <w:rPr>
                <w:rFonts w:eastAsia="Arial" w:cs="Arial"/>
              </w:rPr>
              <w:t xml:space="preserve"> is:</w:t>
            </w:r>
          </w:p>
          <w:p w14:paraId="3F5E9F51" w14:textId="77777777" w:rsidR="00AB02A0" w:rsidRDefault="00AB02A0" w:rsidP="00AB02A0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2: 18 June 2024</w:t>
            </w:r>
          </w:p>
          <w:p w14:paraId="2C12CA9B" w14:textId="77777777" w:rsidR="00AB02A0" w:rsidRDefault="00AB02A0" w:rsidP="00AB02A0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3: 10 September 2024</w:t>
            </w:r>
          </w:p>
          <w:p w14:paraId="2D5FCDAD" w14:textId="7E6F6FF7" w:rsidR="00A36287" w:rsidRPr="00A343CD" w:rsidRDefault="00AB02A0" w:rsidP="00AB02A0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4: 19 November 2024</w:t>
            </w:r>
            <w:r w:rsidR="00F16E98">
              <w:t>.</w:t>
            </w:r>
            <w:r>
              <w:t xml:space="preserve"> </w:t>
            </w:r>
          </w:p>
          <w:p w14:paraId="08296B5F" w14:textId="1661611F" w:rsidR="00AB0A0E" w:rsidRPr="00AB0A0E" w:rsidRDefault="00AB0A0E" w:rsidP="00AB0A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9" w:type="pct"/>
          </w:tcPr>
          <w:p w14:paraId="3808DDE6" w14:textId="412C3418" w:rsidR="00A36287" w:rsidRDefault="00A36287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336" w14:paraId="353C5734" w14:textId="77777777" w:rsidTr="003A3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14:paraId="4CFE974B" w14:textId="2D86EA6E" w:rsidR="00766336" w:rsidRDefault="00A31ADC" w:rsidP="00D05C83">
            <w:r>
              <w:t>6</w:t>
            </w:r>
            <w:r w:rsidR="00A36287">
              <w:t>.0</w:t>
            </w:r>
          </w:p>
        </w:tc>
        <w:tc>
          <w:tcPr>
            <w:tcW w:w="3540" w:type="pct"/>
          </w:tcPr>
          <w:p w14:paraId="70746C7D" w14:textId="77777777" w:rsidR="00726F29" w:rsidRPr="00F0244D" w:rsidRDefault="00726F29" w:rsidP="00726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F0244D">
              <w:rPr>
                <w:b/>
                <w:bCs/>
              </w:rPr>
              <w:t>Thanks and close</w:t>
            </w:r>
          </w:p>
          <w:p w14:paraId="3D72D9F1" w14:textId="2C854777" w:rsidR="00726F29" w:rsidRDefault="00726F29" w:rsidP="00726F29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Chair thanked members for their participation</w:t>
            </w:r>
            <w:r w:rsidR="00AB0A0E">
              <w:t xml:space="preserve"> </w:t>
            </w:r>
            <w:r>
              <w:t xml:space="preserve">As above, next meeting will be </w:t>
            </w:r>
            <w:r w:rsidR="00AB02A0">
              <w:t>18 June</w:t>
            </w:r>
            <w:r w:rsidR="00AB0A0E">
              <w:t xml:space="preserve"> 2024</w:t>
            </w:r>
            <w:r>
              <w:t>.</w:t>
            </w:r>
          </w:p>
          <w:p w14:paraId="7A1FC6FE" w14:textId="7DDC774F" w:rsidR="00726F29" w:rsidRDefault="00726F29" w:rsidP="00726F29">
            <w:pPr>
              <w:spacing w:befor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meeting closed at </w:t>
            </w:r>
            <w:r w:rsidR="00AB0A0E" w:rsidRPr="00A343CD">
              <w:t>6:4</w:t>
            </w:r>
            <w:r w:rsidR="00A343CD" w:rsidRPr="00A343CD">
              <w:t>7</w:t>
            </w:r>
            <w:r w:rsidRPr="00A343CD">
              <w:t>pm</w:t>
            </w:r>
            <w:r>
              <w:t xml:space="preserve">. </w:t>
            </w:r>
          </w:p>
          <w:p w14:paraId="5DFEE665" w14:textId="7D278709" w:rsidR="00766336" w:rsidRPr="0026308D" w:rsidRDefault="00766336" w:rsidP="00D05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9" w:type="pct"/>
          </w:tcPr>
          <w:p w14:paraId="16D99BD7" w14:textId="57D74B05" w:rsidR="00766336" w:rsidRDefault="00766336" w:rsidP="00D05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58FA9E2" w14:textId="77777777" w:rsidR="00CE1EA2" w:rsidRDefault="00CE1EA2" w:rsidP="00BA7340"/>
    <w:sectPr w:rsidR="00CE1EA2" w:rsidSect="00966583">
      <w:footerReference w:type="default" r:id="rId9"/>
      <w:headerReference w:type="first" r:id="rId10"/>
      <w:footerReference w:type="first" r:id="rId11"/>
      <w:pgSz w:w="11906" w:h="16838" w:code="9"/>
      <w:pgMar w:top="2268" w:right="851" w:bottom="1418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CBEA" w14:textId="77777777" w:rsidR="00966583" w:rsidRDefault="00966583" w:rsidP="009E7C78">
      <w:pPr>
        <w:spacing w:after="0" w:line="240" w:lineRule="auto"/>
      </w:pPr>
      <w:r>
        <w:separator/>
      </w:r>
    </w:p>
  </w:endnote>
  <w:endnote w:type="continuationSeparator" w:id="0">
    <w:p w14:paraId="0FBB9108" w14:textId="77777777" w:rsidR="00966583" w:rsidRDefault="00966583" w:rsidP="009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62E6" w14:textId="04D98401" w:rsidR="000D3ACB" w:rsidRPr="003F7EF8" w:rsidRDefault="00BA7340" w:rsidP="000D3ACB">
    <w:pPr>
      <w:pStyle w:val="Footer"/>
      <w:tabs>
        <w:tab w:val="clear" w:pos="9026"/>
        <w:tab w:val="right" w:pos="10206"/>
      </w:tabs>
      <w:ind w:right="-460"/>
      <w:rPr>
        <w:lang w:val="fr-FR"/>
      </w:rPr>
    </w:pPr>
    <w:r w:rsidRPr="00AC0877">
      <w:rPr>
        <w:b/>
        <w:noProof/>
        <w:color w:val="FF0000"/>
        <w:lang w:eastAsia="en-AU"/>
      </w:rPr>
      <w:drawing>
        <wp:anchor distT="0" distB="0" distL="114300" distR="114300" simplePos="0" relativeHeight="251658752" behindDoc="0" locked="0" layoutInCell="1" allowOverlap="1" wp14:anchorId="3F8CC2B6" wp14:editId="16169E61">
          <wp:simplePos x="0" y="0"/>
          <wp:positionH relativeFrom="column">
            <wp:posOffset>-518795</wp:posOffset>
          </wp:positionH>
          <wp:positionV relativeFrom="paragraph">
            <wp:posOffset>-224790</wp:posOffset>
          </wp:positionV>
          <wp:extent cx="7560000" cy="336724"/>
          <wp:effectExtent l="0" t="0" r="3175" b="635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3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16942" w14:textId="27A9BBC8" w:rsidR="00BA7340" w:rsidRPr="003F7EF8" w:rsidRDefault="00BA7340" w:rsidP="00BA7340">
    <w:pPr>
      <w:pStyle w:val="Footer"/>
      <w:tabs>
        <w:tab w:val="clear" w:pos="9026"/>
        <w:tab w:val="right" w:pos="10206"/>
      </w:tabs>
      <w:ind w:right="-2"/>
      <w:rPr>
        <w:lang w:val="fr-FR"/>
      </w:rPr>
    </w:pPr>
    <w:r w:rsidRPr="003F7EF8">
      <w:rPr>
        <w:lang w:val="fr-FR"/>
      </w:rPr>
      <w:tab/>
    </w:r>
    <w:r w:rsidR="000D3ACB">
      <w:rPr>
        <w:lang w:val="fr-FR"/>
      </w:rPr>
      <w:tab/>
    </w:r>
    <w:r w:rsidRPr="003F7EF8">
      <w:rPr>
        <w:lang w:val="fr-FR"/>
      </w:rPr>
      <w:t xml:space="preserve">Page </w:t>
    </w:r>
    <w:r w:rsidRPr="00F01FB6">
      <w:fldChar w:fldCharType="begin"/>
    </w:r>
    <w:r w:rsidRPr="003F7EF8">
      <w:rPr>
        <w:lang w:val="fr-FR"/>
      </w:rPr>
      <w:instrText xml:space="preserve"> PAGE </w:instrText>
    </w:r>
    <w:r w:rsidRPr="00F01FB6">
      <w:fldChar w:fldCharType="separate"/>
    </w:r>
    <w:r w:rsidR="00CF52D3" w:rsidRPr="003F7EF8">
      <w:rPr>
        <w:noProof/>
        <w:lang w:val="fr-FR"/>
      </w:rPr>
      <w:t>2</w:t>
    </w:r>
    <w:r w:rsidRPr="00F01FB6">
      <w:fldChar w:fldCharType="end"/>
    </w:r>
    <w:r w:rsidRPr="003F7EF8">
      <w:rPr>
        <w:lang w:val="fr-FR"/>
      </w:rPr>
      <w:t xml:space="preserve"> of </w:t>
    </w:r>
    <w:r>
      <w:rPr>
        <w:noProof/>
      </w:rPr>
      <w:fldChar w:fldCharType="begin"/>
    </w:r>
    <w:r w:rsidRPr="003F7EF8">
      <w:rPr>
        <w:noProof/>
        <w:lang w:val="fr-FR"/>
      </w:rPr>
      <w:instrText xml:space="preserve"> NUMPAGES  </w:instrText>
    </w:r>
    <w:r>
      <w:rPr>
        <w:noProof/>
      </w:rPr>
      <w:fldChar w:fldCharType="separate"/>
    </w:r>
    <w:r w:rsidR="00CF52D3" w:rsidRPr="003F7EF8">
      <w:rPr>
        <w:noProof/>
        <w:lang w:val="fr-FR"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54" w14:textId="05EE873A" w:rsidR="00FD3B89" w:rsidRPr="00AC0877" w:rsidRDefault="00FD3B89" w:rsidP="00FD3B89">
    <w:pPr>
      <w:pStyle w:val="Footer"/>
      <w:tabs>
        <w:tab w:val="clear" w:pos="9026"/>
        <w:tab w:val="right" w:pos="10206"/>
      </w:tabs>
      <w:ind w:right="-460"/>
      <w:rPr>
        <w:color w:val="FF0000"/>
      </w:rPr>
    </w:pPr>
    <w:r w:rsidRPr="00AC0877">
      <w:rPr>
        <w:b/>
        <w:noProof/>
        <w:color w:val="FF0000"/>
        <w:lang w:eastAsia="en-AU"/>
      </w:rPr>
      <w:drawing>
        <wp:anchor distT="0" distB="0" distL="114300" distR="114300" simplePos="0" relativeHeight="251657216" behindDoc="0" locked="0" layoutInCell="1" allowOverlap="1" wp14:anchorId="106B215A" wp14:editId="78EB358F">
          <wp:simplePos x="0" y="0"/>
          <wp:positionH relativeFrom="column">
            <wp:posOffset>-518795</wp:posOffset>
          </wp:positionH>
          <wp:positionV relativeFrom="paragraph">
            <wp:posOffset>-224790</wp:posOffset>
          </wp:positionV>
          <wp:extent cx="7560000" cy="336724"/>
          <wp:effectExtent l="0" t="0" r="3175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3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5BDC" w14:textId="6433E1EC" w:rsidR="00FD3B89" w:rsidRPr="00FD3B89" w:rsidRDefault="00FD3B89" w:rsidP="00F71155">
    <w:pPr>
      <w:pStyle w:val="Footer"/>
      <w:tabs>
        <w:tab w:val="clear" w:pos="9026"/>
        <w:tab w:val="right" w:pos="10206"/>
      </w:tabs>
      <w:ind w:right="-2"/>
      <w:jc w:val="right"/>
    </w:pPr>
    <w:r w:rsidRPr="00F01FB6">
      <w:t xml:space="preserve">Page </w:t>
    </w:r>
    <w:r w:rsidRPr="00F01FB6">
      <w:fldChar w:fldCharType="begin"/>
    </w:r>
    <w:r w:rsidRPr="00F01FB6">
      <w:instrText xml:space="preserve"> PAGE </w:instrText>
    </w:r>
    <w:r w:rsidRPr="00F01FB6">
      <w:fldChar w:fldCharType="separate"/>
    </w:r>
    <w:r w:rsidR="0070032B">
      <w:rPr>
        <w:noProof/>
      </w:rPr>
      <w:t>1</w:t>
    </w:r>
    <w:r w:rsidRPr="00F01FB6">
      <w:fldChar w:fldCharType="end"/>
    </w:r>
    <w:r w:rsidRPr="00F01FB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0032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17B6" w14:textId="77777777" w:rsidR="00966583" w:rsidRDefault="00966583" w:rsidP="009E7C78">
      <w:pPr>
        <w:spacing w:after="0" w:line="240" w:lineRule="auto"/>
      </w:pPr>
      <w:r>
        <w:separator/>
      </w:r>
    </w:p>
  </w:footnote>
  <w:footnote w:type="continuationSeparator" w:id="0">
    <w:p w14:paraId="50646CB9" w14:textId="77777777" w:rsidR="00966583" w:rsidRDefault="00966583" w:rsidP="009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57C3" w14:textId="07517D29" w:rsidR="00FD3B89" w:rsidRDefault="00FD3B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C6B60B" wp14:editId="6E42B6C9">
          <wp:simplePos x="0" y="0"/>
          <wp:positionH relativeFrom="column">
            <wp:posOffset>-539750</wp:posOffset>
          </wp:positionH>
          <wp:positionV relativeFrom="paragraph">
            <wp:posOffset>-431800</wp:posOffset>
          </wp:positionV>
          <wp:extent cx="7560000" cy="1514371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X003_WCX_TU_Header_Art01_ka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37D"/>
    <w:multiLevelType w:val="multilevel"/>
    <w:tmpl w:val="EF32E808"/>
    <w:numStyleLink w:val="SMCWCXStyle1"/>
  </w:abstractNum>
  <w:abstractNum w:abstractNumId="1" w15:restartNumberingAfterBreak="0">
    <w:nsid w:val="08E026B3"/>
    <w:multiLevelType w:val="hybridMultilevel"/>
    <w:tmpl w:val="D64CD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02162"/>
    <w:multiLevelType w:val="multilevel"/>
    <w:tmpl w:val="9BB261B4"/>
    <w:lvl w:ilvl="0">
      <w:start w:val="1"/>
      <w:numFmt w:val="bullet"/>
      <w:lvlText w:val="●"/>
      <w:lvlJc w:val="left"/>
      <w:pPr>
        <w:ind w:left="567" w:hanging="567"/>
      </w:pPr>
      <w:rPr>
        <w:rFonts w:ascii="Arial" w:hAnsi="Arial" w:hint="default"/>
        <w:color w:val="009FDF"/>
      </w:rPr>
    </w:lvl>
    <w:lvl w:ilvl="1">
      <w:start w:val="1"/>
      <w:numFmt w:val="bullet"/>
      <w:lvlText w:val="○"/>
      <w:lvlJc w:val="left"/>
      <w:pPr>
        <w:ind w:left="1134" w:hanging="567"/>
      </w:pPr>
      <w:rPr>
        <w:rFonts w:ascii="Arial" w:hAnsi="Arial" w:hint="default"/>
        <w:color w:val="009FDF"/>
        <w:sz w:val="16"/>
      </w:rPr>
    </w:lvl>
    <w:lvl w:ilvl="2">
      <w:start w:val="1"/>
      <w:numFmt w:val="bullet"/>
      <w:lvlText w:val="–"/>
      <w:lvlJc w:val="left"/>
      <w:pPr>
        <w:ind w:left="1701" w:hanging="567"/>
      </w:pPr>
      <w:rPr>
        <w:rFonts w:ascii="Arial" w:hAnsi="Arial" w:hint="default"/>
        <w:color w:val="009FDF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4F717E"/>
    <w:multiLevelType w:val="multilevel"/>
    <w:tmpl w:val="EF32E808"/>
    <w:numStyleLink w:val="SMCWCXStyle1"/>
  </w:abstractNum>
  <w:abstractNum w:abstractNumId="4" w15:restartNumberingAfterBreak="0">
    <w:nsid w:val="204E066B"/>
    <w:multiLevelType w:val="multilevel"/>
    <w:tmpl w:val="EF32E808"/>
    <w:numStyleLink w:val="SMCWCXStyle1"/>
  </w:abstractNum>
  <w:abstractNum w:abstractNumId="5" w15:restartNumberingAfterBreak="0">
    <w:nsid w:val="22E67BE0"/>
    <w:multiLevelType w:val="hybridMultilevel"/>
    <w:tmpl w:val="03E6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3E7D"/>
    <w:multiLevelType w:val="hybridMultilevel"/>
    <w:tmpl w:val="D2B87790"/>
    <w:lvl w:ilvl="0" w:tplc="D55A5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0C86"/>
    <w:multiLevelType w:val="hybridMultilevel"/>
    <w:tmpl w:val="5758426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E136A"/>
    <w:multiLevelType w:val="hybridMultilevel"/>
    <w:tmpl w:val="DA929452"/>
    <w:lvl w:ilvl="0" w:tplc="A0AC7C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084B"/>
    <w:multiLevelType w:val="multilevel"/>
    <w:tmpl w:val="EF32E808"/>
    <w:numStyleLink w:val="SMCWCXStyle1"/>
  </w:abstractNum>
  <w:abstractNum w:abstractNumId="10" w15:restartNumberingAfterBreak="0">
    <w:nsid w:val="36547296"/>
    <w:multiLevelType w:val="multilevel"/>
    <w:tmpl w:val="17184AD4"/>
    <w:lvl w:ilvl="0">
      <w:start w:val="1"/>
      <w:numFmt w:val="bullet"/>
      <w:lvlText w:val="●"/>
      <w:lvlJc w:val="left"/>
      <w:pPr>
        <w:ind w:left="567" w:hanging="567"/>
      </w:pPr>
      <w:rPr>
        <w:rFonts w:ascii="Arial" w:hAnsi="Arial" w:hint="default"/>
        <w:color w:val="009FDF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color w:val="009FDF"/>
        <w:sz w:val="16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9FD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D86CF5"/>
    <w:multiLevelType w:val="hybridMultilevel"/>
    <w:tmpl w:val="19145490"/>
    <w:lvl w:ilvl="0" w:tplc="EE3861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2833"/>
    <w:multiLevelType w:val="hybridMultilevel"/>
    <w:tmpl w:val="32403FE8"/>
    <w:lvl w:ilvl="0" w:tplc="F88A6C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37589"/>
    <w:multiLevelType w:val="multilevel"/>
    <w:tmpl w:val="EF32E808"/>
    <w:styleLink w:val="SMCWCXStyle1"/>
    <w:lvl w:ilvl="0">
      <w:start w:val="1"/>
      <w:numFmt w:val="bullet"/>
      <w:lvlText w:val="●"/>
      <w:lvlJc w:val="left"/>
      <w:pPr>
        <w:ind w:left="567" w:hanging="567"/>
      </w:pPr>
      <w:rPr>
        <w:rFonts w:ascii="Arial" w:hAnsi="Arial" w:hint="default"/>
        <w:color w:val="009FDF"/>
        <w:sz w:val="16"/>
      </w:rPr>
    </w:lvl>
    <w:lvl w:ilvl="1">
      <w:start w:val="1"/>
      <w:numFmt w:val="bullet"/>
      <w:lvlText w:val="○"/>
      <w:lvlJc w:val="left"/>
      <w:pPr>
        <w:ind w:left="1134" w:hanging="567"/>
      </w:pPr>
      <w:rPr>
        <w:rFonts w:ascii="Arial" w:hAnsi="Arial" w:hint="default"/>
        <w:color w:val="009FDF"/>
        <w:sz w:val="16"/>
      </w:rPr>
    </w:lvl>
    <w:lvl w:ilvl="2">
      <w:start w:val="1"/>
      <w:numFmt w:val="bullet"/>
      <w:lvlText w:val="–"/>
      <w:lvlJc w:val="left"/>
      <w:pPr>
        <w:ind w:left="1701" w:hanging="567"/>
      </w:pPr>
      <w:rPr>
        <w:rFonts w:ascii="Arial" w:hAnsi="Arial" w:hint="default"/>
        <w:color w:val="009FDF"/>
        <w:sz w:val="16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Arial" w:hAnsi="Arial" w:hint="default"/>
        <w:sz w:val="16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ascii="Arial" w:hAnsi="Arial" w:hint="default"/>
        <w:sz w:val="16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Arial" w:hAnsi="Arial" w:hint="default"/>
        <w:sz w:val="16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ascii="Arial" w:hAnsi="Arial" w:hint="default"/>
        <w:sz w:val="16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ascii="Arial" w:hAnsi="Arial" w:hint="default"/>
        <w:sz w:val="16"/>
      </w:rPr>
    </w:lvl>
  </w:abstractNum>
  <w:abstractNum w:abstractNumId="14" w15:restartNumberingAfterBreak="0">
    <w:nsid w:val="45D8361F"/>
    <w:multiLevelType w:val="hybridMultilevel"/>
    <w:tmpl w:val="5EFC556C"/>
    <w:lvl w:ilvl="0" w:tplc="572E1C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4E89"/>
    <w:multiLevelType w:val="multilevel"/>
    <w:tmpl w:val="EF32E808"/>
    <w:numStyleLink w:val="SMCWCXStyle1"/>
  </w:abstractNum>
  <w:abstractNum w:abstractNumId="16" w15:restartNumberingAfterBreak="0">
    <w:nsid w:val="4C6E61F7"/>
    <w:multiLevelType w:val="hybridMultilevel"/>
    <w:tmpl w:val="C44AE56E"/>
    <w:lvl w:ilvl="0" w:tplc="7C44DD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A6812"/>
    <w:multiLevelType w:val="multilevel"/>
    <w:tmpl w:val="EF32E808"/>
    <w:numStyleLink w:val="SMCWCXStyle1"/>
  </w:abstractNum>
  <w:abstractNum w:abstractNumId="18" w15:restartNumberingAfterBreak="0">
    <w:nsid w:val="4FBB75E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71758B5"/>
    <w:multiLevelType w:val="multilevel"/>
    <w:tmpl w:val="EF32E808"/>
    <w:numStyleLink w:val="SMCWCXStyle1"/>
  </w:abstractNum>
  <w:abstractNum w:abstractNumId="20" w15:restartNumberingAfterBreak="0">
    <w:nsid w:val="602231E4"/>
    <w:multiLevelType w:val="hybridMultilevel"/>
    <w:tmpl w:val="5A5E3A8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D76C19"/>
    <w:multiLevelType w:val="multilevel"/>
    <w:tmpl w:val="EF32E808"/>
    <w:numStyleLink w:val="SMCWCXStyle1"/>
  </w:abstractNum>
  <w:abstractNum w:abstractNumId="22" w15:restartNumberingAfterBreak="0">
    <w:nsid w:val="6172309F"/>
    <w:multiLevelType w:val="hybridMultilevel"/>
    <w:tmpl w:val="FDC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A7B"/>
    <w:multiLevelType w:val="hybridMultilevel"/>
    <w:tmpl w:val="64C2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F442A"/>
    <w:multiLevelType w:val="hybridMultilevel"/>
    <w:tmpl w:val="BBC8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11AA"/>
    <w:multiLevelType w:val="multilevel"/>
    <w:tmpl w:val="EF32E808"/>
    <w:numStyleLink w:val="SMCWCXStyle1"/>
  </w:abstractNum>
  <w:abstractNum w:abstractNumId="26" w15:restartNumberingAfterBreak="0">
    <w:nsid w:val="74A77BB1"/>
    <w:multiLevelType w:val="hybridMultilevel"/>
    <w:tmpl w:val="093A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21D1"/>
    <w:multiLevelType w:val="hybridMultilevel"/>
    <w:tmpl w:val="97446FC8"/>
    <w:lvl w:ilvl="0" w:tplc="82883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2BB9"/>
    <w:multiLevelType w:val="multilevel"/>
    <w:tmpl w:val="17184AD4"/>
    <w:lvl w:ilvl="0">
      <w:start w:val="1"/>
      <w:numFmt w:val="bullet"/>
      <w:lvlText w:val="●"/>
      <w:lvlJc w:val="left"/>
      <w:pPr>
        <w:ind w:left="567" w:hanging="567"/>
      </w:pPr>
      <w:rPr>
        <w:rFonts w:ascii="Arial" w:hAnsi="Arial" w:hint="default"/>
        <w:color w:val="009FDF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color w:val="009FDF"/>
        <w:sz w:val="16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9FD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0068336">
    <w:abstractNumId w:val="10"/>
  </w:num>
  <w:num w:numId="2" w16cid:durableId="40833590">
    <w:abstractNumId w:val="2"/>
  </w:num>
  <w:num w:numId="3" w16cid:durableId="884878671">
    <w:abstractNumId w:val="18"/>
  </w:num>
  <w:num w:numId="4" w16cid:durableId="699014802">
    <w:abstractNumId w:val="28"/>
  </w:num>
  <w:num w:numId="5" w16cid:durableId="1547520629">
    <w:abstractNumId w:val="13"/>
  </w:num>
  <w:num w:numId="6" w16cid:durableId="1122650352">
    <w:abstractNumId w:val="9"/>
  </w:num>
  <w:num w:numId="7" w16cid:durableId="2000033890">
    <w:abstractNumId w:val="17"/>
  </w:num>
  <w:num w:numId="8" w16cid:durableId="1138492731">
    <w:abstractNumId w:val="0"/>
  </w:num>
  <w:num w:numId="9" w16cid:durableId="1255438886">
    <w:abstractNumId w:val="15"/>
  </w:num>
  <w:num w:numId="10" w16cid:durableId="992176890">
    <w:abstractNumId w:val="3"/>
  </w:num>
  <w:num w:numId="11" w16cid:durableId="1790080954">
    <w:abstractNumId w:val="21"/>
  </w:num>
  <w:num w:numId="12" w16cid:durableId="711460981">
    <w:abstractNumId w:val="19"/>
  </w:num>
  <w:num w:numId="13" w16cid:durableId="1235822204">
    <w:abstractNumId w:val="4"/>
  </w:num>
  <w:num w:numId="14" w16cid:durableId="1239557866">
    <w:abstractNumId w:val="25"/>
  </w:num>
  <w:num w:numId="15" w16cid:durableId="2018456668">
    <w:abstractNumId w:val="6"/>
  </w:num>
  <w:num w:numId="16" w16cid:durableId="1363358456">
    <w:abstractNumId w:val="11"/>
  </w:num>
  <w:num w:numId="17" w16cid:durableId="509149360">
    <w:abstractNumId w:val="14"/>
  </w:num>
  <w:num w:numId="18" w16cid:durableId="18625698">
    <w:abstractNumId w:val="16"/>
  </w:num>
  <w:num w:numId="19" w16cid:durableId="1834568258">
    <w:abstractNumId w:val="1"/>
  </w:num>
  <w:num w:numId="20" w16cid:durableId="945582406">
    <w:abstractNumId w:val="7"/>
  </w:num>
  <w:num w:numId="21" w16cid:durableId="2059738348">
    <w:abstractNumId w:val="20"/>
  </w:num>
  <w:num w:numId="22" w16cid:durableId="1565676126">
    <w:abstractNumId w:val="12"/>
  </w:num>
  <w:num w:numId="23" w16cid:durableId="1420101186">
    <w:abstractNumId w:val="27"/>
  </w:num>
  <w:num w:numId="24" w16cid:durableId="829253190">
    <w:abstractNumId w:val="8"/>
  </w:num>
  <w:num w:numId="25" w16cid:durableId="1273901187">
    <w:abstractNumId w:val="22"/>
  </w:num>
  <w:num w:numId="26" w16cid:durableId="1116679309">
    <w:abstractNumId w:val="23"/>
  </w:num>
  <w:num w:numId="27" w16cid:durableId="1816988024">
    <w:abstractNumId w:val="26"/>
  </w:num>
  <w:num w:numId="28" w16cid:durableId="1964462998">
    <w:abstractNumId w:val="24"/>
  </w:num>
  <w:num w:numId="29" w16cid:durableId="741220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7"/>
    <w:rsid w:val="0004591A"/>
    <w:rsid w:val="00054426"/>
    <w:rsid w:val="00056F70"/>
    <w:rsid w:val="00061B11"/>
    <w:rsid w:val="00077278"/>
    <w:rsid w:val="000A4065"/>
    <w:rsid w:val="000B225C"/>
    <w:rsid w:val="000D3ACB"/>
    <w:rsid w:val="000E5337"/>
    <w:rsid w:val="001035A0"/>
    <w:rsid w:val="00110D2C"/>
    <w:rsid w:val="00161F08"/>
    <w:rsid w:val="00163BC7"/>
    <w:rsid w:val="001671F4"/>
    <w:rsid w:val="0017608C"/>
    <w:rsid w:val="00177404"/>
    <w:rsid w:val="00193AE0"/>
    <w:rsid w:val="001A0204"/>
    <w:rsid w:val="001C08B7"/>
    <w:rsid w:val="001D639E"/>
    <w:rsid w:val="001F1DA1"/>
    <w:rsid w:val="001F3864"/>
    <w:rsid w:val="002001C2"/>
    <w:rsid w:val="00212348"/>
    <w:rsid w:val="00223578"/>
    <w:rsid w:val="00237B03"/>
    <w:rsid w:val="00253651"/>
    <w:rsid w:val="002627C7"/>
    <w:rsid w:val="0026308D"/>
    <w:rsid w:val="002906CD"/>
    <w:rsid w:val="002A5CAC"/>
    <w:rsid w:val="002C15AD"/>
    <w:rsid w:val="002C1FD9"/>
    <w:rsid w:val="002C388B"/>
    <w:rsid w:val="002D1972"/>
    <w:rsid w:val="002D2655"/>
    <w:rsid w:val="003543A0"/>
    <w:rsid w:val="00361F99"/>
    <w:rsid w:val="003749C2"/>
    <w:rsid w:val="00376624"/>
    <w:rsid w:val="00390A69"/>
    <w:rsid w:val="003A225D"/>
    <w:rsid w:val="003A360A"/>
    <w:rsid w:val="003A5B52"/>
    <w:rsid w:val="003E12B2"/>
    <w:rsid w:val="003E6FDF"/>
    <w:rsid w:val="003F6653"/>
    <w:rsid w:val="003F7EF8"/>
    <w:rsid w:val="004074B8"/>
    <w:rsid w:val="004115F4"/>
    <w:rsid w:val="00412DCD"/>
    <w:rsid w:val="00424F68"/>
    <w:rsid w:val="0042531A"/>
    <w:rsid w:val="004473E4"/>
    <w:rsid w:val="00450CD7"/>
    <w:rsid w:val="004B4B0B"/>
    <w:rsid w:val="004B55CC"/>
    <w:rsid w:val="004B782B"/>
    <w:rsid w:val="004C2C58"/>
    <w:rsid w:val="004D1C38"/>
    <w:rsid w:val="004F3035"/>
    <w:rsid w:val="004F3C78"/>
    <w:rsid w:val="00514DE5"/>
    <w:rsid w:val="00515B28"/>
    <w:rsid w:val="00516B4C"/>
    <w:rsid w:val="00522FFD"/>
    <w:rsid w:val="00553339"/>
    <w:rsid w:val="00554932"/>
    <w:rsid w:val="00566B63"/>
    <w:rsid w:val="00576CB5"/>
    <w:rsid w:val="0059404E"/>
    <w:rsid w:val="005A77C5"/>
    <w:rsid w:val="005A7A00"/>
    <w:rsid w:val="005B3481"/>
    <w:rsid w:val="005C1C47"/>
    <w:rsid w:val="005D59A7"/>
    <w:rsid w:val="005E034E"/>
    <w:rsid w:val="005E2812"/>
    <w:rsid w:val="005F0D21"/>
    <w:rsid w:val="006178D3"/>
    <w:rsid w:val="00621707"/>
    <w:rsid w:val="00621AC4"/>
    <w:rsid w:val="00622B20"/>
    <w:rsid w:val="00635113"/>
    <w:rsid w:val="006364B5"/>
    <w:rsid w:val="006367EC"/>
    <w:rsid w:val="006546B5"/>
    <w:rsid w:val="006622C2"/>
    <w:rsid w:val="00684451"/>
    <w:rsid w:val="006B6E15"/>
    <w:rsid w:val="006C0E36"/>
    <w:rsid w:val="006D117D"/>
    <w:rsid w:val="006F5DA5"/>
    <w:rsid w:val="0070032B"/>
    <w:rsid w:val="0071767F"/>
    <w:rsid w:val="00717EA1"/>
    <w:rsid w:val="00726F29"/>
    <w:rsid w:val="00727C3E"/>
    <w:rsid w:val="00747E1E"/>
    <w:rsid w:val="00750795"/>
    <w:rsid w:val="0075683F"/>
    <w:rsid w:val="00766336"/>
    <w:rsid w:val="00774174"/>
    <w:rsid w:val="00793CA5"/>
    <w:rsid w:val="007B3F15"/>
    <w:rsid w:val="007B3F94"/>
    <w:rsid w:val="007B5D1E"/>
    <w:rsid w:val="007C1660"/>
    <w:rsid w:val="007C32AF"/>
    <w:rsid w:val="007E02F8"/>
    <w:rsid w:val="007E2BBE"/>
    <w:rsid w:val="00802AFE"/>
    <w:rsid w:val="00811199"/>
    <w:rsid w:val="00812BE6"/>
    <w:rsid w:val="00814817"/>
    <w:rsid w:val="00846C88"/>
    <w:rsid w:val="00896002"/>
    <w:rsid w:val="008A6FF6"/>
    <w:rsid w:val="00923A0A"/>
    <w:rsid w:val="00925BBC"/>
    <w:rsid w:val="0092758D"/>
    <w:rsid w:val="009431FD"/>
    <w:rsid w:val="0096077B"/>
    <w:rsid w:val="00966583"/>
    <w:rsid w:val="009A62F4"/>
    <w:rsid w:val="009A6809"/>
    <w:rsid w:val="009B5FEA"/>
    <w:rsid w:val="009C5848"/>
    <w:rsid w:val="009D0A49"/>
    <w:rsid w:val="009E7C78"/>
    <w:rsid w:val="00A07709"/>
    <w:rsid w:val="00A11D6B"/>
    <w:rsid w:val="00A31ADC"/>
    <w:rsid w:val="00A343CD"/>
    <w:rsid w:val="00A36287"/>
    <w:rsid w:val="00A41EBA"/>
    <w:rsid w:val="00A4311D"/>
    <w:rsid w:val="00A43425"/>
    <w:rsid w:val="00A44FA8"/>
    <w:rsid w:val="00A47FB6"/>
    <w:rsid w:val="00A55C26"/>
    <w:rsid w:val="00A903C0"/>
    <w:rsid w:val="00A9376A"/>
    <w:rsid w:val="00A956C6"/>
    <w:rsid w:val="00AB02A0"/>
    <w:rsid w:val="00AB0A0E"/>
    <w:rsid w:val="00AB5765"/>
    <w:rsid w:val="00AC0877"/>
    <w:rsid w:val="00AC0C9F"/>
    <w:rsid w:val="00AC5A03"/>
    <w:rsid w:val="00AE48DD"/>
    <w:rsid w:val="00B1367B"/>
    <w:rsid w:val="00B148A2"/>
    <w:rsid w:val="00B14DD1"/>
    <w:rsid w:val="00B17D79"/>
    <w:rsid w:val="00B2167E"/>
    <w:rsid w:val="00B222DC"/>
    <w:rsid w:val="00B26A8B"/>
    <w:rsid w:val="00B34D9B"/>
    <w:rsid w:val="00B46DCF"/>
    <w:rsid w:val="00B56ECE"/>
    <w:rsid w:val="00B67B71"/>
    <w:rsid w:val="00B84ADD"/>
    <w:rsid w:val="00BA7340"/>
    <w:rsid w:val="00BB4C63"/>
    <w:rsid w:val="00BB4FF9"/>
    <w:rsid w:val="00BC3B6C"/>
    <w:rsid w:val="00BC51B7"/>
    <w:rsid w:val="00BD3804"/>
    <w:rsid w:val="00BD63D4"/>
    <w:rsid w:val="00BE01FE"/>
    <w:rsid w:val="00BE5608"/>
    <w:rsid w:val="00C315E1"/>
    <w:rsid w:val="00C3657F"/>
    <w:rsid w:val="00C37656"/>
    <w:rsid w:val="00C60652"/>
    <w:rsid w:val="00C66B0F"/>
    <w:rsid w:val="00C8346D"/>
    <w:rsid w:val="00C861F4"/>
    <w:rsid w:val="00C87C88"/>
    <w:rsid w:val="00C91071"/>
    <w:rsid w:val="00CB3C74"/>
    <w:rsid w:val="00CC3A0F"/>
    <w:rsid w:val="00CC6415"/>
    <w:rsid w:val="00CE1EA2"/>
    <w:rsid w:val="00CF52D3"/>
    <w:rsid w:val="00D376D9"/>
    <w:rsid w:val="00D42CC6"/>
    <w:rsid w:val="00D810C0"/>
    <w:rsid w:val="00D81DA2"/>
    <w:rsid w:val="00DA4258"/>
    <w:rsid w:val="00DB11E3"/>
    <w:rsid w:val="00DB1CA3"/>
    <w:rsid w:val="00DC026E"/>
    <w:rsid w:val="00DC4982"/>
    <w:rsid w:val="00DF18D9"/>
    <w:rsid w:val="00DF67D3"/>
    <w:rsid w:val="00E01E61"/>
    <w:rsid w:val="00E10688"/>
    <w:rsid w:val="00E12FB0"/>
    <w:rsid w:val="00E24B19"/>
    <w:rsid w:val="00E30FB1"/>
    <w:rsid w:val="00E46A2F"/>
    <w:rsid w:val="00E563FC"/>
    <w:rsid w:val="00E8347A"/>
    <w:rsid w:val="00E84A6E"/>
    <w:rsid w:val="00E916C7"/>
    <w:rsid w:val="00E978EA"/>
    <w:rsid w:val="00E97CB4"/>
    <w:rsid w:val="00ED5DB4"/>
    <w:rsid w:val="00EE55AD"/>
    <w:rsid w:val="00EE5A04"/>
    <w:rsid w:val="00EF63C8"/>
    <w:rsid w:val="00F0028E"/>
    <w:rsid w:val="00F01FB6"/>
    <w:rsid w:val="00F16E98"/>
    <w:rsid w:val="00F24D3C"/>
    <w:rsid w:val="00F44750"/>
    <w:rsid w:val="00F71155"/>
    <w:rsid w:val="00F712D4"/>
    <w:rsid w:val="00F91250"/>
    <w:rsid w:val="00F964AE"/>
    <w:rsid w:val="00FB17F0"/>
    <w:rsid w:val="00FB69C3"/>
    <w:rsid w:val="00FB72E3"/>
    <w:rsid w:val="00FC1078"/>
    <w:rsid w:val="00FD3B89"/>
    <w:rsid w:val="00FD58B2"/>
    <w:rsid w:val="00FD5CC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6D453"/>
  <w15:chartTrackingRefBased/>
  <w15:docId w15:val="{E0009583-677B-4242-AC53-701F97A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2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877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9FD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415"/>
    <w:pPr>
      <w:keepNext/>
      <w:keepLines/>
      <w:spacing w:before="40" w:after="0"/>
      <w:outlineLvl w:val="1"/>
    </w:pPr>
    <w:rPr>
      <w:rFonts w:eastAsiaTheme="majorEastAsia" w:cstheme="majorBidi"/>
      <w:b/>
      <w:color w:val="5B7F9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415"/>
    <w:pPr>
      <w:keepNext/>
      <w:keepLines/>
      <w:spacing w:before="40" w:after="0"/>
      <w:outlineLvl w:val="2"/>
    </w:pPr>
    <w:rPr>
      <w:rFonts w:eastAsiaTheme="majorEastAsia" w:cstheme="majorBidi"/>
      <w:b/>
      <w:color w:val="5B7F95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41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5B7F9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6415"/>
    <w:pPr>
      <w:keepNext/>
      <w:keepLines/>
      <w:spacing w:before="40" w:after="0"/>
      <w:outlineLvl w:val="4"/>
    </w:pPr>
    <w:rPr>
      <w:rFonts w:eastAsiaTheme="majorEastAsia" w:cstheme="majorBidi"/>
      <w:b/>
      <w:color w:val="5B7F95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6415"/>
    <w:pPr>
      <w:keepNext/>
      <w:keepLines/>
      <w:spacing w:before="40" w:after="0"/>
      <w:outlineLvl w:val="5"/>
    </w:pPr>
    <w:rPr>
      <w:rFonts w:eastAsiaTheme="majorEastAsia" w:cstheme="majorBidi"/>
      <w:color w:val="5B7F9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C64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4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4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877"/>
    <w:rPr>
      <w:rFonts w:ascii="Arial" w:eastAsiaTheme="majorEastAsia" w:hAnsi="Arial" w:cstheme="majorBidi"/>
      <w:b/>
      <w:color w:val="009FD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415"/>
    <w:rPr>
      <w:rFonts w:ascii="Arial" w:eastAsiaTheme="majorEastAsia" w:hAnsi="Arial" w:cstheme="majorBidi"/>
      <w:b/>
      <w:color w:val="5B7F9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6653"/>
    <w:pPr>
      <w:spacing w:after="0" w:line="240" w:lineRule="auto"/>
      <w:contextualSpacing/>
    </w:pPr>
    <w:rPr>
      <w:rFonts w:eastAsiaTheme="majorEastAsia" w:cstheme="majorBidi"/>
      <w:b/>
      <w:color w:val="009FD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653"/>
    <w:rPr>
      <w:rFonts w:ascii="Arial" w:eastAsiaTheme="majorEastAsia" w:hAnsi="Arial" w:cstheme="majorBidi"/>
      <w:b/>
      <w:color w:val="009FDF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F6653"/>
    <w:pPr>
      <w:spacing w:after="0" w:line="240" w:lineRule="auto"/>
    </w:pPr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DC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B46DCF"/>
    <w:rPr>
      <w:rFonts w:ascii="Arial" w:eastAsiaTheme="minorEastAsia" w:hAnsi="Arial"/>
      <w:color w:val="5A5A5A" w:themeColor="text1" w:themeTint="A5"/>
      <w:sz w:val="20"/>
    </w:rPr>
  </w:style>
  <w:style w:type="character" w:styleId="SubtleEmphasis">
    <w:name w:val="Subtle Emphasis"/>
    <w:basedOn w:val="DefaultParagraphFont"/>
    <w:uiPriority w:val="19"/>
    <w:qFormat/>
    <w:rsid w:val="003F6653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3F6653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3F6653"/>
    <w:rPr>
      <w:rFonts w:ascii="Arial" w:hAnsi="Arial"/>
      <w:i/>
      <w:iCs/>
      <w:color w:val="009FDF"/>
      <w:sz w:val="20"/>
    </w:rPr>
  </w:style>
  <w:style w:type="character" w:styleId="Strong">
    <w:name w:val="Strong"/>
    <w:basedOn w:val="DefaultParagraphFont"/>
    <w:uiPriority w:val="22"/>
    <w:qFormat/>
    <w:rsid w:val="003F665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rsid w:val="003F66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653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F66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FD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653"/>
    <w:rPr>
      <w:rFonts w:ascii="Arial" w:hAnsi="Arial"/>
      <w:i/>
      <w:iCs/>
      <w:color w:val="009FDF"/>
      <w:sz w:val="20"/>
    </w:rPr>
  </w:style>
  <w:style w:type="character" w:styleId="SubtleReference">
    <w:name w:val="Subtle Reference"/>
    <w:basedOn w:val="DefaultParagraphFont"/>
    <w:uiPriority w:val="31"/>
    <w:rsid w:val="003F6653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rsid w:val="00727C3E"/>
    <w:rPr>
      <w:rFonts w:ascii="Arial" w:hAnsi="Arial"/>
      <w:b/>
      <w:bCs/>
      <w:smallCaps/>
      <w:color w:val="009FDF"/>
      <w:spacing w:val="5"/>
      <w:sz w:val="20"/>
    </w:rPr>
  </w:style>
  <w:style w:type="character" w:styleId="BookTitle">
    <w:name w:val="Book Title"/>
    <w:basedOn w:val="DefaultParagraphFont"/>
    <w:uiPriority w:val="33"/>
    <w:rsid w:val="003F6653"/>
    <w:rPr>
      <w:rFonts w:ascii="Arial" w:hAnsi="Arial"/>
      <w:b/>
      <w:bCs/>
      <w:i/>
      <w:iCs/>
      <w:spacing w:val="5"/>
      <w:sz w:val="20"/>
    </w:rPr>
  </w:style>
  <w:style w:type="paragraph" w:styleId="ListParagraph">
    <w:name w:val="List Paragraph"/>
    <w:basedOn w:val="Normal"/>
    <w:uiPriority w:val="34"/>
    <w:qFormat/>
    <w:rsid w:val="003F66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6415"/>
    <w:rPr>
      <w:rFonts w:ascii="Arial" w:eastAsiaTheme="majorEastAsia" w:hAnsi="Arial" w:cstheme="majorBidi"/>
      <w:b/>
      <w:color w:val="5B7F9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6415"/>
    <w:rPr>
      <w:rFonts w:ascii="Arial" w:eastAsiaTheme="majorEastAsia" w:hAnsi="Arial" w:cstheme="majorBidi"/>
      <w:b/>
      <w:iCs/>
      <w:color w:val="5B7F9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6415"/>
    <w:rPr>
      <w:rFonts w:ascii="Arial" w:eastAsiaTheme="majorEastAsia" w:hAnsi="Arial" w:cstheme="majorBidi"/>
      <w:b/>
      <w:color w:val="5B7F95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C6415"/>
    <w:rPr>
      <w:rFonts w:ascii="Arial" w:eastAsiaTheme="majorEastAsia" w:hAnsi="Arial" w:cstheme="majorBidi"/>
      <w:color w:val="5B7F95"/>
      <w:sz w:val="20"/>
    </w:rPr>
  </w:style>
  <w:style w:type="table" w:styleId="TableGrid">
    <w:name w:val="Table Grid"/>
    <w:basedOn w:val="TableNormal"/>
    <w:uiPriority w:val="39"/>
    <w:rsid w:val="0074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MCWCXStyle10">
    <w:name w:val="SMC WCX Style 1"/>
    <w:basedOn w:val="TableNormal"/>
    <w:rsid w:val="00BD63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  <w14:numSpacing w14:val="proportional"/>
    </w:rPr>
    <w:tblPr>
      <w:tblStyleRowBandSize w:val="1"/>
      <w:tblStyleColBandSize w:val="1"/>
      <w:tblInd w:w="113" w:type="dxa"/>
      <w:tblBorders>
        <w:insideH w:val="single" w:sz="18" w:space="0" w:color="FFFFFF"/>
        <w:insideV w:val="single" w:sz="18" w:space="0" w:color="FFFFFF"/>
      </w:tblBorders>
    </w:tblPr>
    <w:tcPr>
      <w:shd w:val="clear" w:color="auto" w:fill="E6E7E8"/>
      <w:tcMar>
        <w:top w:w="28" w:type="dxa"/>
        <w:bottom w:w="28" w:type="dxa"/>
      </w:tcMar>
    </w:tcPr>
    <w:tblStylePr w:type="firstRow">
      <w:pPr>
        <w:wordWrap/>
        <w:jc w:val="left"/>
      </w:pPr>
      <w:rPr>
        <w:rFonts w:ascii="Arial" w:hAnsi="Arial"/>
        <w:b/>
        <w:i w:val="0"/>
        <w:color w:val="FFFFFF" w:themeColor="background1"/>
        <w:sz w:val="20"/>
      </w:rPr>
      <w:tblPr/>
      <w:trPr>
        <w:cantSplit/>
        <w:tblHeader/>
      </w:trPr>
      <w:tcPr>
        <w:shd w:val="clear" w:color="auto" w:fill="009FDF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CC6415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4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4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78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qFormat/>
    <w:rsid w:val="00F91250"/>
    <w:pPr>
      <w:tabs>
        <w:tab w:val="center" w:pos="4513"/>
        <w:tab w:val="right" w:pos="9026"/>
      </w:tabs>
      <w:spacing w:after="0" w:line="240" w:lineRule="auto"/>
    </w:pPr>
    <w:rPr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F91250"/>
    <w:rPr>
      <w:rFonts w:ascii="Arial" w:hAnsi="Arial"/>
      <w:color w:val="4D4D4D"/>
      <w:sz w:val="16"/>
    </w:rPr>
  </w:style>
  <w:style w:type="numbering" w:customStyle="1" w:styleId="SMCWCXStyle1">
    <w:name w:val="SMC WCX Style1"/>
    <w:uiPriority w:val="99"/>
    <w:rsid w:val="00AC0C9F"/>
    <w:pPr>
      <w:numPr>
        <w:numId w:val="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46DCF"/>
    <w:pPr>
      <w:spacing w:after="200" w:line="240" w:lineRule="auto"/>
    </w:pPr>
    <w:rPr>
      <w:iCs/>
      <w:color w:val="000000" w:themeColor="text1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63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55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1D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3ACB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8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6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urban.com/content/dam/investor-centre/01/1H24-ResultsPresentation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urrent_jobs\WCX003_Collateral_Rebrand\Supplied_files\02_Corporate_Templates\05_Minutes\Minutes%20SMC%20W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7E76697F44E42946C31F3CB8D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65C3-3CBE-4417-A201-C115563A076D}"/>
      </w:docPartPr>
      <w:docPartBody>
        <w:p w:rsidR="00D91E32" w:rsidRDefault="007A52A3" w:rsidP="007A52A3">
          <w:pPr>
            <w:pStyle w:val="A217E76697F44E42946C31F3CB8DEEBD"/>
          </w:pPr>
          <w:r>
            <w:rPr>
              <w:rStyle w:val="PlaceholderText"/>
            </w:rPr>
            <w:t>Enter name of committee or meeting</w:t>
          </w:r>
          <w:r w:rsidRPr="00A30F8D">
            <w:rPr>
              <w:rStyle w:val="PlaceholderText"/>
            </w:rPr>
            <w:t>.</w:t>
          </w:r>
        </w:p>
      </w:docPartBody>
    </w:docPart>
    <w:docPart>
      <w:docPartPr>
        <w:name w:val="B046A54951A84DE98118CABA8059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E05F-FCF4-404E-9DBD-C1E9F7EA0845}"/>
      </w:docPartPr>
      <w:docPartBody>
        <w:p w:rsidR="00D91E32" w:rsidRDefault="007A52A3" w:rsidP="007A52A3">
          <w:pPr>
            <w:pStyle w:val="B046A54951A84DE98118CABA80591DEB"/>
          </w:pPr>
          <w:r w:rsidRPr="00A30F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A3"/>
    <w:rsid w:val="000F3F85"/>
    <w:rsid w:val="0023568F"/>
    <w:rsid w:val="00364BF9"/>
    <w:rsid w:val="003A5B52"/>
    <w:rsid w:val="003E6FDF"/>
    <w:rsid w:val="00445152"/>
    <w:rsid w:val="0057138B"/>
    <w:rsid w:val="007A52A3"/>
    <w:rsid w:val="0087605E"/>
    <w:rsid w:val="00892585"/>
    <w:rsid w:val="00B36671"/>
    <w:rsid w:val="00D315CB"/>
    <w:rsid w:val="00D376D9"/>
    <w:rsid w:val="00D91E32"/>
    <w:rsid w:val="00E27272"/>
    <w:rsid w:val="00E84461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2A3"/>
    <w:rPr>
      <w:color w:val="808080"/>
    </w:rPr>
  </w:style>
  <w:style w:type="paragraph" w:customStyle="1" w:styleId="A217E76697F44E42946C31F3CB8DEEBD">
    <w:name w:val="A217E76697F44E42946C31F3CB8DEEBD"/>
    <w:rsid w:val="007A52A3"/>
  </w:style>
  <w:style w:type="paragraph" w:customStyle="1" w:styleId="B046A54951A84DE98118CABA80591DEB">
    <w:name w:val="B046A54951A84DE98118CABA80591DEB"/>
    <w:rsid w:val="007A5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AF35-F29E-439D-86E1-A4B7097D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X:\Current_jobs\WCX003_Collateral_Rebrand\Supplied_files\02_Corporate_Templates\05_Minutes\Minutes SMC WCX.dotx</Template>
  <TotalTime>14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Motorway Corporation | WestConnex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Ackermann, Karen</dc:creator>
  <cp:keywords/>
  <dc:description/>
  <cp:lastModifiedBy>Abigail Goldberg</cp:lastModifiedBy>
  <cp:revision>4</cp:revision>
  <cp:lastPrinted>2023-11-20T05:20:00Z</cp:lastPrinted>
  <dcterms:created xsi:type="dcterms:W3CDTF">2024-04-23T04:23:00Z</dcterms:created>
  <dcterms:modified xsi:type="dcterms:W3CDTF">2024-05-01T05:12:00Z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d0b4d8-ca6e-40e0-8b56-cbb6f25426b0_Enabled">
    <vt:lpwstr>true</vt:lpwstr>
  </property>
  <property fmtid="{D5CDD505-2E9C-101B-9397-08002B2CF9AE}" pid="3" name="MSIP_Label_7cd0b4d8-ca6e-40e0-8b56-cbb6f25426b0_SetDate">
    <vt:lpwstr>2022-11-07T23:50:06Z</vt:lpwstr>
  </property>
  <property fmtid="{D5CDD505-2E9C-101B-9397-08002B2CF9AE}" pid="4" name="MSIP_Label_7cd0b4d8-ca6e-40e0-8b56-cbb6f25426b0_Method">
    <vt:lpwstr>Standard</vt:lpwstr>
  </property>
  <property fmtid="{D5CDD505-2E9C-101B-9397-08002B2CF9AE}" pid="5" name="MSIP_Label_7cd0b4d8-ca6e-40e0-8b56-cbb6f25426b0_Name">
    <vt:lpwstr>Commercial in Confidence</vt:lpwstr>
  </property>
  <property fmtid="{D5CDD505-2E9C-101B-9397-08002B2CF9AE}" pid="6" name="MSIP_Label_7cd0b4d8-ca6e-40e0-8b56-cbb6f25426b0_SiteId">
    <vt:lpwstr>57f34dd1-6a42-47f9-9bc0-b921fa6caa30</vt:lpwstr>
  </property>
  <property fmtid="{D5CDD505-2E9C-101B-9397-08002B2CF9AE}" pid="7" name="MSIP_Label_7cd0b4d8-ca6e-40e0-8b56-cbb6f25426b0_ActionId">
    <vt:lpwstr>a75ae320-105e-4f87-87ca-faeefac5b73c</vt:lpwstr>
  </property>
  <property fmtid="{D5CDD505-2E9C-101B-9397-08002B2CF9AE}" pid="8" name="MSIP_Label_7cd0b4d8-ca6e-40e0-8b56-cbb6f25426b0_ContentBits">
    <vt:lpwstr>0</vt:lpwstr>
  </property>
</Properties>
</file>